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Calibri" w:eastAsia="方正小标宋简体" w:cs="方正小标宋简体"/>
          <w:color w:val="auto"/>
          <w:sz w:val="44"/>
          <w:szCs w:val="44"/>
        </w:rPr>
      </w:pPr>
      <w:r>
        <w:rPr>
          <w:rFonts w:hint="eastAsia" w:ascii="方正小标宋简体" w:hAnsi="Calibri" w:eastAsia="方正小标宋简体" w:cs="方正小标宋简体"/>
          <w:color w:val="auto"/>
          <w:sz w:val="44"/>
          <w:szCs w:val="44"/>
        </w:rPr>
        <w:t>河南省教育厅办公室</w:t>
      </w:r>
    </w:p>
    <w:p>
      <w:pPr>
        <w:snapToGrid w:val="0"/>
        <w:jc w:val="center"/>
        <w:rPr>
          <w:rFonts w:ascii="方正小标宋简体" w:hAnsi="Calibri" w:eastAsia="方正小标宋简体" w:cs="方正小标宋简体"/>
          <w:color w:val="auto"/>
          <w:sz w:val="44"/>
          <w:szCs w:val="44"/>
        </w:rPr>
      </w:pPr>
      <w:r>
        <w:rPr>
          <w:rFonts w:hint="eastAsia" w:ascii="方正小标宋简体" w:hAnsi="Calibri" w:eastAsia="方正小标宋简体" w:cs="方正小标宋简体"/>
          <w:color w:val="auto"/>
          <w:sz w:val="44"/>
          <w:szCs w:val="44"/>
        </w:rPr>
        <w:t>关于开展2021年“基础教育精品课”遴选工作的通知</w:t>
      </w:r>
    </w:p>
    <w:p>
      <w:pPr>
        <w:pStyle w:val="2"/>
        <w:rPr>
          <w:color w:val="auto"/>
        </w:rPr>
      </w:pPr>
    </w:p>
    <w:p>
      <w:pPr>
        <w:rPr>
          <w:rFonts w:ascii="仿宋_GB2312" w:hAnsi="仿宋" w:eastAsia="仿宋_GB2312" w:cs="仿宋"/>
          <w:color w:val="auto"/>
          <w:sz w:val="30"/>
          <w:szCs w:val="30"/>
        </w:rPr>
      </w:pPr>
      <w:r>
        <w:rPr>
          <w:rFonts w:hint="eastAsia" w:ascii="仿宋_GB2312" w:hAnsi="仿宋" w:eastAsia="仿宋_GB2312" w:cs="仿宋"/>
          <w:color w:val="auto"/>
          <w:sz w:val="30"/>
          <w:szCs w:val="30"/>
        </w:rPr>
        <w:t>各省辖市、济源示范区、省直管县（市）教育局，厅直属中小学校：</w:t>
      </w:r>
    </w:p>
    <w:p>
      <w:pPr>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lang w:eastAsia="zh-CN"/>
        </w:rPr>
        <w:t>根据</w:t>
      </w:r>
      <w:r>
        <w:rPr>
          <w:rFonts w:hint="eastAsia" w:ascii="仿宋_GB2312" w:hAnsi="仿宋" w:eastAsia="仿宋_GB2312" w:cs="仿宋"/>
          <w:color w:val="auto"/>
          <w:sz w:val="30"/>
          <w:szCs w:val="30"/>
        </w:rPr>
        <w:t>《教育部办公厅关于开展“基础教育精品课”遴选工作的通知》（教基厅函〔2021〕33号）要求，在“一师一优课、一课一名师”活动基础上，决定组织开展2021年“基础教育精品课”（以下</w:t>
      </w:r>
      <w:r>
        <w:rPr>
          <w:rFonts w:ascii="仿宋_GB2312" w:hAnsi="仿宋" w:eastAsia="仿宋_GB2312" w:cs="仿宋"/>
          <w:color w:val="auto"/>
          <w:sz w:val="30"/>
          <w:szCs w:val="30"/>
        </w:rPr>
        <w:t>简称精品课</w:t>
      </w:r>
      <w:r>
        <w:rPr>
          <w:rFonts w:hint="eastAsia" w:ascii="仿宋_GB2312" w:hAnsi="仿宋" w:eastAsia="仿宋_GB2312" w:cs="仿宋"/>
          <w:color w:val="auto"/>
          <w:sz w:val="30"/>
          <w:szCs w:val="30"/>
        </w:rPr>
        <w:t>）遴选工作，现将有关事项通知如下。</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一、工作目标</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1.激发教师教学热情。充分调动广大教师投身课堂教学的积极性创造性，促进教师深入研究课程教材内容，学习借鉴国家中小学网络云平台（以下简称国家云平台，网址：</w:t>
      </w:r>
      <w:r>
        <w:rPr>
          <w:color w:val="auto"/>
        </w:rPr>
        <w:fldChar w:fldCharType="begin"/>
      </w:r>
      <w:r>
        <w:rPr>
          <w:color w:val="auto"/>
        </w:rPr>
        <w:instrText xml:space="preserve"> HYPERLINK "http://ykt.eduyun.cn" </w:instrText>
      </w:r>
      <w:r>
        <w:rPr>
          <w:color w:val="auto"/>
        </w:rPr>
        <w:fldChar w:fldCharType="separate"/>
      </w:r>
      <w:r>
        <w:rPr>
          <w:rStyle w:val="12"/>
          <w:rFonts w:hint="eastAsia" w:ascii="仿宋_GB2312" w:hAnsi="仿宋" w:eastAsia="仿宋_GB2312" w:cs="仿宋"/>
          <w:color w:val="auto"/>
          <w:sz w:val="30"/>
          <w:szCs w:val="30"/>
          <w:u w:val="none"/>
        </w:rPr>
        <w:t>http://ykt.eduyun.cn</w:t>
      </w:r>
      <w:r>
        <w:rPr>
          <w:rStyle w:val="12"/>
          <w:rFonts w:hint="eastAsia" w:ascii="仿宋_GB2312" w:hAnsi="仿宋" w:eastAsia="仿宋_GB2312" w:cs="仿宋"/>
          <w:color w:val="auto"/>
          <w:sz w:val="30"/>
          <w:szCs w:val="30"/>
          <w:u w:val="none"/>
        </w:rPr>
        <w:fldChar w:fldCharType="end"/>
      </w:r>
      <w:r>
        <w:rPr>
          <w:rFonts w:hint="eastAsia" w:ascii="仿宋_GB2312" w:hAnsi="仿宋" w:eastAsia="仿宋_GB2312" w:cs="仿宋"/>
          <w:color w:val="auto"/>
          <w:sz w:val="30"/>
          <w:szCs w:val="30"/>
        </w:rPr>
        <w:t>）优质课程案例，融合应用现代信息技术，创新教学方式方法，提高课堂教学质量和教育教学能力，展现新时代人民教师风采。</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2.汇集优质教学资源。建立健全优质课程资源遴选更新机制，系统化体系化建设云平台优质课程教学资源，不断丰富平台资源内容，提高平台资源质量。</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3.服务学生教师使用。满足学生自主学习和个性化学习需求，为学生预习、复习、开展探究式学习和项目式学习提供服务，促进减轻学生过重学业负担；支持教师课堂教学，为教师优化教学设计、丰富教学内容、开展线上线下混合教学等提供服务。</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4.促进优质均衡发展。促进优质教育资源共享使用，帮助农村学校开足开齐开好国家课程，加快提升农村教育质量，缩小城乡教育差距，促进构建优质均衡的基本公共教育服务体系。</w:t>
      </w:r>
    </w:p>
    <w:p>
      <w:pPr>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二、精品课要求</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精品课以微课形式呈现，包括微课视频、教学设计、学习任务单、课件、作业练习和必要的实验演示，应符合以下基本要求。</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1.坚持正确方向。贯彻党的教育方针，落实立德树人根本任务，尊重教育规律，体现素质教育导向，在意识形态、民族宗教、领土国界等关键问题上不能有偏差。</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2.确保科学严谨。严格依据国家课程标准，保证学科知识内容和授课语言的科学准确，保证情境素材的真实性、适切性和权威性。</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3.突出课堂实效。体现学科教学改革方向，充分考虑学科性质和不同学段学生学习特点，有效解决课堂教学的重点、难点问题，注重发挥学科德育功能和综合育人功能。</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4.注重制作规范。教学目标明确、教学过程完整、教学资源充足、精品课制作规范（见附件1），语言、文字、符号、单位等使用要符合规范。精品课视频及提供下载的教学素材需使用国家云平台提供的标准模板（PPT课件、教学设计、学习任务单、作业练习等，详见国家云平台），精品课（除外语课程外）应使用国家通用语言文字，不得有任何广告。</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5.保证内容原创。精品课必须是教师本人教学实践中所积累的典型教学成果，引用资料须注明出处。不得冒名顶替、弄虚作假，严谨抄袭剽窃，一经发现，除取消此次参评资格外，5年内不得参与精品课评优。</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三、遴选要求</w:t>
      </w:r>
    </w:p>
    <w:p>
      <w:pPr>
        <w:spacing w:line="600" w:lineRule="exact"/>
        <w:ind w:firstLine="643" w:firstLineChars="200"/>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（一）参与人员</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全省所有中小学校（包括小学、初中、九年一贯制学校、完全中学、普通高中等）均可推荐本校教师参与。</w:t>
      </w:r>
    </w:p>
    <w:p>
      <w:pPr>
        <w:spacing w:line="600" w:lineRule="exact"/>
        <w:ind w:firstLine="643" w:firstLineChars="200"/>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（二）报名要求</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我省教师需通过国家云平台、河南省基础教育资源公共服务平台(网址：http://www.hner.cn)设立的专题页面，使用教师相应平台的个人账号登录平台完成报名后，方可提交参与精品课遴选的个人教学实践成果（注：参加过“一师一优课、一课一名师”活动的教师使用原注册平台原账号和密码，未参加过“一师一优课、一课一名师”活动的教师需注册新账号）。</w:t>
      </w:r>
    </w:p>
    <w:p>
      <w:pPr>
        <w:spacing w:line="600" w:lineRule="exact"/>
        <w:ind w:firstLine="643" w:firstLineChars="200"/>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（三）遴选步骤</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1.自主申报。教师总结个人教学实践成果，凝练教学经验和方法，学习借鉴国家云平台相应课程教学资源，对照国家云平台课程节点编号（具体可选教材版本、课程节点等详见国家云平台），确定自己拟讲授的具体内容，自主设计微课并向学校提出申报申请。</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2.学校推荐。教师所在学校应鼓励、支持教师参与微课设计，有组织的围绕精品课设计开展教研、研讨和交流活动，并择优向县级教育部门进行推荐。</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3.县级初选。县级教育部门要组织有关专家、教研员和名师对学校推荐的微课设计进行初选，组织相关教师试讲，指导教师依据课程标准准确把握学科课程内容和教学要求，注重在教学中落实立德树人根本任务，培育学生学科核心素养，努力使精品课教学目标明确，教学设计科学，教学重点突出，教学难点处理得当，做到课堂教学与信息技术的深度融合。在此基础上确定初步人选，并按照制作标准摄制微课视频。精品课资源须教师个人通过平台上传，经校、县级管理员审核后，方可提交市级教育部门。</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4.市级遴选。省辖市、济源示范区、省直管县（市）教育部门应分学科组织专家对县级初选和市直学校推荐的精品课设计进行遴选，确定市级精品课并按照省教育厅下达的名额（见附件2），经本级管理员审核后推荐参与省级遴选，原则上同一课程节点编号只推荐1节精品课。各省辖市、济源示范区、省直管县（市）务必在10月29日24点前通过国家云平台完成省级精品课推荐工作。教育厅直属学校参照市直学校推荐方式推荐本校精品课参与省级遴选。</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5.省级遴选。省教育厅组织专家对省辖市、济源示范区、省直管县（市）推荐的精品课进行评审，按照比例评选出省一、二、三等奖，择优推荐参加部级精品课遴选。</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四、工作要求</w:t>
      </w:r>
    </w:p>
    <w:p>
      <w:pPr>
        <w:spacing w:line="600" w:lineRule="exact"/>
        <w:ind w:firstLine="600" w:firstLineChars="200"/>
        <w:rPr>
          <w:color w:val="auto"/>
        </w:rPr>
      </w:pPr>
      <w:r>
        <w:rPr>
          <w:rFonts w:hint="eastAsia" w:ascii="仿宋_GB2312" w:hAnsi="仿宋" w:eastAsia="仿宋_GB2312" w:cs="仿宋"/>
          <w:color w:val="auto"/>
          <w:sz w:val="30"/>
          <w:szCs w:val="30"/>
        </w:rPr>
        <w:t>1.加强组织保障。河南省“精品课”遴选工作由省教育厅基础教育处、省电化教育馆和省基础教育教学研究室共同组织实施。省“精品课”遴选工作办公室设在省电化教育馆。各地教育行政部门要高度重视、严密组织，加强统筹协调，制定本地精品课遴选工作具体实施方案，建立健全工作机制，充分发挥电教、教研等部门的作用，形成工作合力。按照国家关于“双减”要求，通过遴选精品课工作，探索“做强做优免费线上学习服务””引导学生用好线上优质教育资源”的有效机制。要坚决克服形式主义，防止影响正常课堂教学工作，避免增加学生和教师的负担。各地要规范遴选程序，严格把握质量要求和2021年部级精品课评价指标（见附件3），坚持公开透明，保障公平公正。</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2.落实经费保障。各级教育行政部门负责落实开展工作所需经费（包括培训、活动指导、课程录制、专家评审等），为“精品课”遴选工作顺利进行提供必要条件。</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3.完善服务保障。各地要用好国家云平台，开展专门培训，组织技术专家对工作提供全过程指导、技术支持和运维服务。各地要动员各级名师、骨干教师及培育对象、各级名师工作室、部省学科专家团队，发挥先锋模范和示范效应，积极参加到“精品课”制作、遴选工作中，为教师探索和实践线上教育教学方法提供理论和实践指导。</w:t>
      </w:r>
    </w:p>
    <w:p>
      <w:pPr>
        <w:spacing w:line="600" w:lineRule="exact"/>
        <w:ind w:firstLine="600" w:firstLineChars="200"/>
        <w:rPr>
          <w:rFonts w:ascii="仿宋" w:hAnsi="仿宋" w:eastAsia="仿宋" w:cs="仿宋"/>
          <w:color w:val="auto"/>
          <w:sz w:val="30"/>
          <w:szCs w:val="30"/>
        </w:rPr>
      </w:pPr>
      <w:r>
        <w:rPr>
          <w:rFonts w:hint="eastAsia" w:ascii="仿宋_GB2312" w:hAnsi="仿宋" w:eastAsia="仿宋_GB2312" w:cs="仿宋"/>
          <w:color w:val="auto"/>
          <w:sz w:val="30"/>
          <w:szCs w:val="30"/>
        </w:rPr>
        <w:t>4.加大激励保障。参加“精品课”是教师再学习的过程，凡确定为县级初步人选以上的教师可认定获得省中小学教师信息技术应用能力提升工程（2018—2021年）教育培训10学时，获得省级奖项的可认定完成上述工程教育培训50学时。评定为省级奖项的，颁发河南省教育厅优质课证书。教育部将对获得部级精品课的教师颁发证书，部级精品课可作为教学成果评定、职称评聘和评优评先等方面的重要参考依据。获省级以上奖项的精品课将纳入到河南省基础教育资源公共服务平台的资源体系中进行推广和应用。各地及学校要积极调动区域内优秀教师参与的积极性，发挥好示范引领的作用，带动整个教师队伍参与建设线上学习资源，对获得省级奖项的教师，应给予适当表扬奖励。</w:t>
      </w:r>
    </w:p>
    <w:p>
      <w:pPr>
        <w:pStyle w:val="17"/>
        <w:tabs>
          <w:tab w:val="left" w:pos="775"/>
        </w:tabs>
        <w:spacing w:line="591" w:lineRule="exact"/>
        <w:ind w:firstLine="600" w:firstLineChars="200"/>
        <w:rPr>
          <w:rFonts w:ascii="仿宋_GB2312" w:hAnsi="仿宋" w:eastAsia="仿宋_GB2312" w:cs="仿宋"/>
          <w:color w:val="auto"/>
          <w:sz w:val="30"/>
          <w:szCs w:val="30"/>
          <w:lang w:val="en-US" w:eastAsia="zh-CN" w:bidi="ar-SA"/>
        </w:rPr>
      </w:pPr>
      <w:r>
        <w:rPr>
          <w:rFonts w:hint="eastAsia" w:ascii="仿宋_GB2312" w:hAnsi="仿宋" w:eastAsia="仿宋_GB2312" w:cs="仿宋"/>
          <w:color w:val="auto"/>
          <w:sz w:val="30"/>
          <w:szCs w:val="30"/>
          <w:lang w:val="en-US" w:eastAsia="zh-CN" w:bidi="ar-SA"/>
        </w:rPr>
        <w:t>5.深入推广应用。各地要深入开展精品课资源应用，积极推广精品课课程资源，供广大师生学习使用。各级可通过线上线下相结合的方式，积极开展精品课交流展示活动，加大优质教育资源推广应用的力度，为广大师生使用数字教育资源开展线上线下教育教学活动提供示范，推动数字教育资源在不同教学环境下的应用,切实提升精品课使用效益，促进教师专业发展，促进提高教育质量。</w:t>
      </w:r>
    </w:p>
    <w:p>
      <w:pPr>
        <w:pStyle w:val="17"/>
        <w:tabs>
          <w:tab w:val="left" w:pos="775"/>
        </w:tabs>
        <w:spacing w:line="591" w:lineRule="exact"/>
        <w:ind w:firstLine="640" w:firstLineChars="200"/>
        <w:jc w:val="both"/>
        <w:rPr>
          <w:rFonts w:ascii="仿宋_GB2312" w:eastAsia="仿宋_GB2312"/>
          <w:color w:val="auto"/>
          <w:sz w:val="32"/>
          <w:szCs w:val="32"/>
          <w:lang w:val="en-US" w:eastAsia="zh-CN" w:bidi="en-US"/>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rPr>
        <w:t>、</w:t>
      </w:r>
      <w:r>
        <w:rPr>
          <w:rFonts w:hint="eastAsia" w:ascii="黑体" w:hAnsi="黑体" w:eastAsia="黑体"/>
          <w:color w:val="auto"/>
          <w:sz w:val="32"/>
          <w:szCs w:val="32"/>
          <w:lang w:val="en-US" w:eastAsia="zh-CN"/>
        </w:rPr>
        <w:t>其他事项</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1.各省辖市、济源示范区、省直管县（市）工作联系表（见附件4），请于9月7日前发送</w:t>
      </w:r>
      <w:r>
        <w:rPr>
          <w:color w:val="auto"/>
        </w:rPr>
        <w:fldChar w:fldCharType="begin"/>
      </w:r>
      <w:r>
        <w:rPr>
          <w:color w:val="auto"/>
        </w:rPr>
        <w:instrText xml:space="preserve"> HYPERLINK "mailto:电子版发送至邮箱jzc@moe.edu.cn" </w:instrText>
      </w:r>
      <w:r>
        <w:rPr>
          <w:color w:val="auto"/>
        </w:rPr>
        <w:fldChar w:fldCharType="separate"/>
      </w:r>
      <w:r>
        <w:rPr>
          <w:rFonts w:hint="eastAsia" w:ascii="仿宋_GB2312" w:hAnsi="仿宋" w:eastAsia="仿宋_GB2312" w:cs="仿宋"/>
          <w:color w:val="auto"/>
          <w:sz w:val="30"/>
          <w:szCs w:val="30"/>
        </w:rPr>
        <w:t>电子版</w:t>
      </w:r>
      <w:r>
        <w:rPr>
          <w:rFonts w:hint="eastAsia" w:ascii="仿宋_GB2312" w:hAnsi="仿宋" w:eastAsia="仿宋_GB2312" w:cs="仿宋"/>
          <w:color w:val="auto"/>
          <w:sz w:val="30"/>
          <w:szCs w:val="30"/>
        </w:rPr>
        <w:fldChar w:fldCharType="end"/>
      </w:r>
      <w:r>
        <w:rPr>
          <w:rFonts w:hint="eastAsia" w:ascii="仿宋_GB2312" w:hAnsi="仿宋" w:eastAsia="仿宋_GB2312" w:cs="仿宋"/>
          <w:color w:val="auto"/>
          <w:sz w:val="30"/>
          <w:szCs w:val="30"/>
        </w:rPr>
        <w:t>至省“精品课”遴选工作办公室邮箱。</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2.“精品课”课程节点编号、样课及制作模板等相关指南和技术要求，可查阅河南省基础教育资源公共服务平台专题页面或国家云平台。</w:t>
      </w:r>
    </w:p>
    <w:p>
      <w:pPr>
        <w:spacing w:line="600" w:lineRule="exact"/>
        <w:ind w:firstLine="600" w:firstLineChars="200"/>
        <w:rPr>
          <w:rFonts w:ascii="仿宋_GB2312" w:hAnsi="仿宋" w:eastAsia="仿宋_GB2312" w:cs="仿宋"/>
          <w:color w:val="auto"/>
          <w:sz w:val="30"/>
          <w:szCs w:val="30"/>
        </w:rPr>
      </w:pPr>
      <w:r>
        <w:rPr>
          <w:rFonts w:ascii="仿宋_GB2312" w:hAnsi="仿宋" w:eastAsia="仿宋_GB2312" w:cs="仿宋"/>
          <w:color w:val="auto"/>
          <w:sz w:val="30"/>
          <w:szCs w:val="30"/>
        </w:rPr>
        <w:t>3</w:t>
      </w:r>
      <w:r>
        <w:rPr>
          <w:rFonts w:hint="eastAsia" w:ascii="仿宋_GB2312" w:hAnsi="仿宋" w:eastAsia="仿宋_GB2312" w:cs="仿宋"/>
          <w:color w:val="auto"/>
          <w:sz w:val="30"/>
          <w:szCs w:val="30"/>
        </w:rPr>
        <w:t>.联系方式</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省教育厅基础教育处：杨红星</w:t>
      </w:r>
      <w:r>
        <w:rPr>
          <w:rFonts w:hint="eastAsia" w:ascii="仿宋_GB2312" w:hAnsi="仿宋" w:eastAsia="仿宋_GB2312" w:cs="仿宋"/>
          <w:color w:val="auto"/>
          <w:sz w:val="30"/>
          <w:szCs w:val="30"/>
          <w:lang w:val="en-US" w:eastAsia="zh-CN"/>
        </w:rPr>
        <w:t xml:space="preserve">  </w:t>
      </w:r>
      <w:bookmarkStart w:id="3" w:name="_GoBack"/>
      <w:bookmarkEnd w:id="3"/>
      <w:r>
        <w:rPr>
          <w:rFonts w:hint="eastAsia" w:ascii="仿宋_GB2312" w:hAnsi="仿宋" w:eastAsia="仿宋_GB2312" w:cs="仿宋"/>
          <w:color w:val="auto"/>
          <w:sz w:val="30"/>
          <w:szCs w:val="30"/>
        </w:rPr>
        <w:t>0371-69691881</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省电化教育馆：苏晨  0371—66329808</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省基础教育教学研究室：韩京里  0371—62005</w:t>
      </w:r>
      <w:r>
        <w:rPr>
          <w:rFonts w:ascii="仿宋_GB2312" w:hAnsi="仿宋" w:eastAsia="仿宋_GB2312" w:cs="仿宋"/>
          <w:color w:val="auto"/>
          <w:sz w:val="30"/>
          <w:szCs w:val="30"/>
        </w:rPr>
        <w:t>268</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省级管理员：江兰廷  0371—66329808</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电子邮箱：jjcgy001@haedu.gov.cn</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国家平台电话客服：4008980910  QQ客服：4008980910</w:t>
      </w:r>
    </w:p>
    <w:p>
      <w:pPr>
        <w:spacing w:line="600" w:lineRule="exact"/>
        <w:ind w:firstLine="600" w:firstLineChars="200"/>
        <w:rPr>
          <w:rFonts w:ascii="仿宋_GB2312" w:hAnsi="仿宋" w:eastAsia="仿宋_GB2312" w:cs="仿宋"/>
          <w:color w:val="auto"/>
          <w:sz w:val="30"/>
          <w:szCs w:val="30"/>
        </w:rPr>
      </w:pPr>
    </w:p>
    <w:p>
      <w:pPr>
        <w:spacing w:line="600" w:lineRule="exact"/>
        <w:rPr>
          <w:rFonts w:ascii="仿宋_GB2312" w:hAnsi="仿宋" w:eastAsia="仿宋_GB2312" w:cs="仿宋"/>
          <w:color w:val="auto"/>
          <w:sz w:val="30"/>
          <w:szCs w:val="30"/>
        </w:rPr>
      </w:pPr>
      <w:r>
        <w:rPr>
          <w:rFonts w:hint="eastAsia" w:ascii="仿宋_GB2312" w:hAnsi="仿宋" w:eastAsia="仿宋_GB2312" w:cs="仿宋"/>
          <w:color w:val="auto"/>
          <w:sz w:val="30"/>
          <w:szCs w:val="30"/>
        </w:rPr>
        <w:t>附件：1.“基础教育精品课”制作规范</w:t>
      </w:r>
    </w:p>
    <w:p>
      <w:pPr>
        <w:spacing w:line="600" w:lineRule="exact"/>
        <w:ind w:left="1195" w:leftChars="426" w:hanging="300" w:hangingChars="100"/>
        <w:rPr>
          <w:rFonts w:ascii="仿宋_GB2312" w:hAnsi="仿宋" w:eastAsia="仿宋_GB2312" w:cs="仿宋"/>
          <w:color w:val="auto"/>
          <w:sz w:val="30"/>
          <w:szCs w:val="30"/>
        </w:rPr>
      </w:pPr>
      <w:r>
        <w:rPr>
          <w:rFonts w:hint="eastAsia" w:ascii="仿宋_GB2312" w:hAnsi="仿宋" w:eastAsia="仿宋_GB2312" w:cs="仿宋"/>
          <w:color w:val="auto"/>
          <w:sz w:val="30"/>
          <w:szCs w:val="30"/>
        </w:rPr>
        <w:t>2.“基础教育精品课”推荐名额分配表</w:t>
      </w:r>
    </w:p>
    <w:p>
      <w:pPr>
        <w:spacing w:line="600" w:lineRule="exact"/>
        <w:ind w:firstLine="900" w:firstLineChars="300"/>
        <w:rPr>
          <w:rFonts w:ascii="仿宋_GB2312" w:hAnsi="仿宋" w:eastAsia="仿宋_GB2312" w:cs="仿宋"/>
          <w:color w:val="auto"/>
          <w:sz w:val="30"/>
          <w:szCs w:val="30"/>
        </w:rPr>
      </w:pPr>
      <w:r>
        <w:rPr>
          <w:rFonts w:hint="eastAsia" w:ascii="仿宋_GB2312" w:hAnsi="仿宋" w:eastAsia="仿宋_GB2312" w:cs="仿宋"/>
          <w:color w:val="auto"/>
          <w:sz w:val="30"/>
          <w:szCs w:val="30"/>
        </w:rPr>
        <w:t>3.2021年省级“基础教育精品课”评价指标</w:t>
      </w:r>
    </w:p>
    <w:p>
      <w:pPr>
        <w:spacing w:line="600" w:lineRule="exact"/>
        <w:ind w:firstLine="900" w:firstLineChars="300"/>
        <w:rPr>
          <w:rFonts w:ascii="仿宋_GB2312" w:hAnsi="仿宋" w:eastAsia="仿宋_GB2312" w:cs="仿宋"/>
          <w:color w:val="auto"/>
          <w:sz w:val="30"/>
          <w:szCs w:val="30"/>
        </w:rPr>
      </w:pPr>
      <w:r>
        <w:rPr>
          <w:rFonts w:hint="eastAsia" w:ascii="仿宋_GB2312" w:hAnsi="仿宋" w:eastAsia="仿宋_GB2312" w:cs="仿宋"/>
          <w:color w:val="auto"/>
          <w:sz w:val="30"/>
          <w:szCs w:val="30"/>
        </w:rPr>
        <w:t>4.工作联系表</w:t>
      </w:r>
    </w:p>
    <w:p>
      <w:pPr>
        <w:spacing w:line="600" w:lineRule="exact"/>
        <w:ind w:firstLine="600" w:firstLineChars="200"/>
        <w:rPr>
          <w:rFonts w:ascii="仿宋_GB2312" w:hAnsi="仿宋" w:eastAsia="仿宋_GB2312" w:cs="仿宋"/>
          <w:color w:val="auto"/>
          <w:sz w:val="30"/>
          <w:szCs w:val="30"/>
        </w:rPr>
      </w:pPr>
    </w:p>
    <w:p>
      <w:pPr>
        <w:pStyle w:val="2"/>
        <w:rPr>
          <w:color w:val="auto"/>
        </w:rPr>
      </w:pPr>
    </w:p>
    <w:p>
      <w:pPr>
        <w:pStyle w:val="17"/>
        <w:tabs>
          <w:tab w:val="left" w:pos="775"/>
        </w:tabs>
        <w:spacing w:line="591" w:lineRule="exact"/>
        <w:ind w:right="1200" w:firstLine="4800" w:firstLineChars="1600"/>
        <w:rPr>
          <w:rFonts w:ascii="仿宋_GB2312" w:hAnsi="仿宋" w:eastAsia="仿宋_GB2312" w:cs="仿宋"/>
          <w:color w:val="auto"/>
          <w:sz w:val="30"/>
          <w:szCs w:val="30"/>
          <w:lang w:val="en-US" w:eastAsia="zh-CN" w:bidi="ar-SA"/>
        </w:rPr>
      </w:pPr>
      <w:r>
        <w:rPr>
          <w:rFonts w:hint="eastAsia" w:ascii="仿宋_GB2312" w:hAnsi="仿宋" w:eastAsia="仿宋_GB2312" w:cs="仿宋"/>
          <w:color w:val="auto"/>
          <w:sz w:val="30"/>
          <w:szCs w:val="30"/>
          <w:lang w:val="en-US" w:eastAsia="zh-CN" w:bidi="ar-SA"/>
        </w:rPr>
        <w:t>2021年8月  日</w:t>
      </w:r>
    </w:p>
    <w:p>
      <w:pPr>
        <w:spacing w:line="600" w:lineRule="exact"/>
        <w:ind w:left="1490" w:leftChars="100" w:hanging="1280" w:hangingChars="400"/>
        <w:rPr>
          <w:rFonts w:ascii="黑体" w:hAnsi="黑体" w:eastAsia="黑体"/>
          <w:color w:val="auto"/>
          <w:sz w:val="32"/>
          <w:szCs w:val="32"/>
        </w:rPr>
      </w:pPr>
    </w:p>
    <w:p>
      <w:pPr>
        <w:spacing w:line="600" w:lineRule="exact"/>
        <w:ind w:left="1490" w:leftChars="100" w:hanging="1280" w:hangingChars="400"/>
        <w:rPr>
          <w:rFonts w:ascii="黑体" w:hAnsi="黑体" w:eastAsia="黑体"/>
          <w:color w:val="auto"/>
          <w:sz w:val="32"/>
          <w:szCs w:val="32"/>
        </w:rPr>
      </w:pPr>
    </w:p>
    <w:p>
      <w:pPr>
        <w:spacing w:line="600" w:lineRule="exact"/>
        <w:ind w:left="1490" w:leftChars="100" w:hanging="1280" w:hangingChars="400"/>
        <w:rPr>
          <w:rFonts w:ascii="黑体" w:hAnsi="黑体" w:eastAsia="黑体"/>
          <w:color w:val="auto"/>
          <w:sz w:val="32"/>
          <w:szCs w:val="32"/>
        </w:rPr>
      </w:pPr>
    </w:p>
    <w:p>
      <w:pPr>
        <w:spacing w:line="600" w:lineRule="exact"/>
        <w:ind w:left="1490" w:leftChars="100" w:hanging="1280" w:hangingChars="400"/>
        <w:rPr>
          <w:rFonts w:ascii="黑体" w:hAnsi="黑体" w:eastAsia="黑体"/>
          <w:color w:val="auto"/>
          <w:sz w:val="32"/>
          <w:szCs w:val="32"/>
        </w:rPr>
      </w:pPr>
    </w:p>
    <w:p>
      <w:pPr>
        <w:spacing w:line="600" w:lineRule="exact"/>
        <w:ind w:left="1490" w:leftChars="100" w:hanging="1280" w:hangingChars="400"/>
        <w:rPr>
          <w:rFonts w:ascii="黑体" w:hAnsi="黑体" w:eastAsia="黑体"/>
          <w:color w:val="auto"/>
          <w:sz w:val="32"/>
          <w:szCs w:val="32"/>
        </w:rPr>
      </w:pPr>
    </w:p>
    <w:p>
      <w:pPr>
        <w:spacing w:line="600" w:lineRule="exact"/>
        <w:ind w:left="1490" w:leftChars="100" w:hanging="1280" w:hangingChars="400"/>
        <w:rPr>
          <w:rFonts w:ascii="黑体" w:hAnsi="黑体" w:eastAsia="黑体"/>
          <w:color w:val="auto"/>
          <w:sz w:val="32"/>
          <w:szCs w:val="32"/>
        </w:rPr>
      </w:pPr>
    </w:p>
    <w:p>
      <w:pPr>
        <w:spacing w:line="600" w:lineRule="exact"/>
        <w:rPr>
          <w:rFonts w:ascii="黑体" w:hAnsi="黑体" w:eastAsia="黑体"/>
          <w:color w:val="auto"/>
          <w:sz w:val="32"/>
          <w:szCs w:val="32"/>
        </w:rPr>
      </w:pPr>
    </w:p>
    <w:p>
      <w:pPr>
        <w:spacing w:line="600" w:lineRule="exact"/>
        <w:ind w:left="1490" w:leftChars="100" w:hanging="1280" w:hangingChars="400"/>
        <w:rPr>
          <w:rFonts w:hint="eastAsia" w:ascii="黑体" w:hAnsi="黑体" w:eastAsia="黑体"/>
          <w:color w:val="auto"/>
          <w:sz w:val="32"/>
          <w:szCs w:val="32"/>
        </w:rPr>
      </w:pPr>
    </w:p>
    <w:p>
      <w:pPr>
        <w:spacing w:line="600" w:lineRule="exact"/>
        <w:ind w:left="1490" w:leftChars="100" w:hanging="1280" w:hangingChars="400"/>
        <w:rPr>
          <w:rFonts w:hint="eastAsia" w:ascii="黑体" w:hAnsi="黑体" w:eastAsia="黑体"/>
          <w:color w:val="auto"/>
          <w:sz w:val="32"/>
          <w:szCs w:val="32"/>
        </w:rPr>
      </w:pPr>
    </w:p>
    <w:p>
      <w:pPr>
        <w:spacing w:line="600" w:lineRule="exact"/>
        <w:ind w:left="1490" w:leftChars="100" w:hanging="1280" w:hangingChars="400"/>
        <w:rPr>
          <w:rFonts w:ascii="黑体" w:hAnsi="黑体" w:eastAsia="黑体"/>
          <w:color w:val="auto"/>
          <w:sz w:val="32"/>
          <w:szCs w:val="32"/>
        </w:rPr>
      </w:pPr>
      <w:r>
        <w:rPr>
          <w:rFonts w:hint="eastAsia" w:ascii="黑体" w:hAnsi="黑体" w:eastAsia="黑体"/>
          <w:color w:val="auto"/>
          <w:sz w:val="32"/>
          <w:szCs w:val="32"/>
        </w:rPr>
        <w:t>附件1</w:t>
      </w:r>
    </w:p>
    <w:p>
      <w:pPr>
        <w:snapToGrid w:val="0"/>
        <w:jc w:val="center"/>
        <w:rPr>
          <w:rFonts w:ascii="仿宋_GB2312" w:hAnsi="仿宋" w:eastAsia="仿宋_GB2312" w:cs="仿宋"/>
          <w:color w:val="auto"/>
          <w:sz w:val="30"/>
          <w:szCs w:val="30"/>
        </w:rPr>
      </w:pPr>
      <w:r>
        <w:rPr>
          <w:rFonts w:hint="eastAsia" w:ascii="方正小标宋简体" w:hAnsi="Calibri" w:eastAsia="方正小标宋简体" w:cs="Times New Roman"/>
          <w:color w:val="auto"/>
          <w:kern w:val="0"/>
          <w:sz w:val="44"/>
          <w:szCs w:val="44"/>
        </w:rPr>
        <w:t>“基础教育精品课”制作规范</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精品课内容应为教育部审定的中小学各年级各学科教材中的具体一课（节）所含知识。一课（节）如有多个课时，需分别制作多个微课，最多不超过3个课时。每课时微课包括微课视频、教学设计、学习任务单、课件、作业练习等，如有实验内容，可提供实验视频。相关模板可从国家云平台下载。</w:t>
      </w:r>
    </w:p>
    <w:p>
      <w:pPr>
        <w:pStyle w:val="2"/>
        <w:spacing w:before="0" w:after="0" w:line="600" w:lineRule="exact"/>
        <w:ind w:firstLine="640" w:firstLineChars="200"/>
        <w:jc w:val="left"/>
        <w:rPr>
          <w:rFonts w:ascii="黑体" w:hAnsi="黑体" w:eastAsia="黑体" w:cs="黑体"/>
          <w:b w:val="0"/>
          <w:bCs w:val="0"/>
          <w:color w:val="auto"/>
        </w:rPr>
      </w:pPr>
      <w:r>
        <w:rPr>
          <w:rFonts w:hint="eastAsia" w:ascii="黑体" w:hAnsi="黑体" w:eastAsia="黑体" w:cs="黑体"/>
          <w:b w:val="0"/>
          <w:bCs w:val="0"/>
          <w:color w:val="auto"/>
        </w:rPr>
        <w:t>一、微课视频</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微课视频应采用“教师讲解+多媒体大屏”的形式，适当呈现授课教师画面，增强教学的交互性和画面的可视性。单个微课视频时长：小学10-15分钟、中学15-20分钟。微课视频应包含片头，时长不超过5秒，文字信息包括：教材版本、学科、年级、课名、主讲教师等信息。录制环境（推荐使用演播室、录播教室）安静无噪音，光照充足均匀，教师语言规范，声音响亮。视频画面的比例为16∶9，大小不超过1G，编码格式H.264/25帧，分辨率1920*1080P，码率8Mbps，音频ACC编码、码率128Kbps。鼓励教师对微课视频文件进行后期编制，可根据教学内容要求适当调整屏幕大小，布局美观大方。实验视频应多角度清晰呈现教师进行实验操作讲解、演示的画面及相关实验现象，可简单介绍实验目的、设计思路及创新点、实验原理、教学装备与教学融合性分析等。</w:t>
      </w:r>
    </w:p>
    <w:p>
      <w:pPr>
        <w:pStyle w:val="2"/>
        <w:spacing w:before="0" w:after="0" w:line="600" w:lineRule="exact"/>
        <w:ind w:firstLine="640" w:firstLineChars="200"/>
        <w:jc w:val="left"/>
        <w:rPr>
          <w:rFonts w:ascii="黑体" w:hAnsi="黑体" w:eastAsia="黑体" w:cs="黑体"/>
          <w:b w:val="0"/>
          <w:bCs w:val="0"/>
          <w:color w:val="auto"/>
        </w:rPr>
      </w:pPr>
      <w:r>
        <w:rPr>
          <w:rFonts w:hint="eastAsia" w:ascii="黑体" w:hAnsi="黑体" w:eastAsia="黑体" w:cs="黑体"/>
          <w:b w:val="0"/>
          <w:bCs w:val="0"/>
          <w:color w:val="auto"/>
        </w:rPr>
        <w:t>二、课件</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课件及其嵌入的媒体素材应确保内容清晰无误，界面设计简明、布局合理、重点突出，风格统一。引用地图应使用教材上的地图并标明出处，格式为：地图出自xxx（教材名，出版社，版本，第x页）。</w:t>
      </w:r>
    </w:p>
    <w:p>
      <w:pPr>
        <w:pStyle w:val="2"/>
        <w:spacing w:before="0" w:after="0" w:line="600" w:lineRule="exact"/>
        <w:ind w:firstLine="640" w:firstLineChars="200"/>
        <w:jc w:val="left"/>
        <w:rPr>
          <w:rFonts w:ascii="黑体" w:hAnsi="黑体" w:eastAsia="黑体" w:cs="黑体"/>
          <w:b w:val="0"/>
          <w:bCs w:val="0"/>
          <w:color w:val="auto"/>
        </w:rPr>
      </w:pPr>
      <w:r>
        <w:rPr>
          <w:rFonts w:hint="eastAsia" w:ascii="黑体" w:hAnsi="黑体" w:eastAsia="黑体" w:cs="黑体"/>
          <w:b w:val="0"/>
          <w:bCs w:val="0"/>
          <w:color w:val="auto"/>
        </w:rPr>
        <w:t>三、其他文档</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教学设计、学习任务单、作业练习等以文本的形式呈现。</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教学设计应至少包含教学目标、教学内容和教学过程等。教学目标符合课程标准要求、学科教学指导意见和教学实际情况。教学内容要充分利用已有的课例研究成果，着重分析本课重点与难点。教学过程包含必要的教学环节，层次清晰，体现多样化教学方式。</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学习任务单内容应包括学习目标、学习任务、学习准备、学习方式和环节以及配套学习资源推荐（包括教科书相关内容阅读及其他学习资源）等。</w:t>
      </w:r>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作业练习应与学习目标相一致，建议设计多样化的作业任务，除适量的纸笔练习题外，可布置绘图、调研报告、手抄报、课后实践活动等任务。</w:t>
      </w:r>
    </w:p>
    <w:p>
      <w:pPr>
        <w:pStyle w:val="17"/>
        <w:tabs>
          <w:tab w:val="left" w:pos="775"/>
        </w:tabs>
        <w:spacing w:line="591" w:lineRule="exact"/>
        <w:ind w:firstLine="0"/>
        <w:jc w:val="both"/>
        <w:rPr>
          <w:rFonts w:ascii="仿宋_GB2312" w:hAnsi="仿宋_GB2312" w:eastAsia="PMingLiU" w:cs="仿宋_GB2312"/>
          <w:color w:val="auto"/>
          <w:kern w:val="0"/>
          <w:sz w:val="32"/>
          <w:szCs w:val="32"/>
        </w:rPr>
      </w:pPr>
    </w:p>
    <w:p>
      <w:pPr>
        <w:pStyle w:val="17"/>
        <w:tabs>
          <w:tab w:val="left" w:pos="775"/>
        </w:tabs>
        <w:spacing w:line="591" w:lineRule="exact"/>
        <w:ind w:firstLine="0"/>
        <w:jc w:val="both"/>
        <w:rPr>
          <w:rFonts w:ascii="仿宋_GB2312" w:hAnsi="仿宋_GB2312" w:eastAsia="PMingLiU" w:cs="仿宋_GB2312"/>
          <w:color w:val="auto"/>
          <w:kern w:val="0"/>
          <w:sz w:val="32"/>
          <w:szCs w:val="32"/>
        </w:rPr>
      </w:pPr>
    </w:p>
    <w:p>
      <w:pPr>
        <w:pStyle w:val="17"/>
        <w:tabs>
          <w:tab w:val="left" w:pos="775"/>
        </w:tabs>
        <w:spacing w:line="591" w:lineRule="exact"/>
        <w:ind w:firstLine="0"/>
        <w:jc w:val="both"/>
        <w:rPr>
          <w:rFonts w:ascii="仿宋_GB2312" w:hAnsi="仿宋_GB2312" w:eastAsia="PMingLiU" w:cs="仿宋_GB2312"/>
          <w:color w:val="auto"/>
          <w:kern w:val="0"/>
          <w:sz w:val="32"/>
          <w:szCs w:val="32"/>
        </w:rPr>
      </w:pPr>
    </w:p>
    <w:p>
      <w:pPr>
        <w:pStyle w:val="17"/>
        <w:tabs>
          <w:tab w:val="left" w:pos="775"/>
        </w:tabs>
        <w:spacing w:line="591" w:lineRule="exact"/>
        <w:ind w:firstLine="0"/>
        <w:jc w:val="both"/>
        <w:rPr>
          <w:rFonts w:ascii="仿宋_GB2312" w:hAnsi="仿宋_GB2312" w:eastAsia="PMingLiU" w:cs="仿宋_GB2312"/>
          <w:color w:val="auto"/>
          <w:kern w:val="0"/>
          <w:sz w:val="32"/>
          <w:szCs w:val="32"/>
        </w:rPr>
      </w:pPr>
    </w:p>
    <w:p>
      <w:pPr>
        <w:pStyle w:val="17"/>
        <w:tabs>
          <w:tab w:val="left" w:pos="775"/>
        </w:tabs>
        <w:spacing w:line="591" w:lineRule="exact"/>
        <w:ind w:firstLine="0"/>
        <w:jc w:val="both"/>
        <w:rPr>
          <w:rFonts w:ascii="仿宋_GB2312" w:hAnsi="仿宋_GB2312" w:eastAsia="PMingLiU" w:cs="仿宋_GB2312"/>
          <w:color w:val="auto"/>
          <w:kern w:val="0"/>
          <w:sz w:val="32"/>
          <w:szCs w:val="32"/>
        </w:rPr>
      </w:pPr>
    </w:p>
    <w:p>
      <w:pPr>
        <w:pStyle w:val="17"/>
        <w:tabs>
          <w:tab w:val="left" w:pos="775"/>
        </w:tabs>
        <w:spacing w:line="591" w:lineRule="exact"/>
        <w:ind w:firstLine="0"/>
        <w:jc w:val="both"/>
        <w:rPr>
          <w:rFonts w:ascii="仿宋_GB2312" w:hAnsi="仿宋_GB2312" w:eastAsia="PMingLiU" w:cs="仿宋_GB2312"/>
          <w:color w:val="auto"/>
          <w:kern w:val="0"/>
          <w:sz w:val="32"/>
          <w:szCs w:val="32"/>
        </w:rPr>
      </w:pPr>
    </w:p>
    <w:p>
      <w:pPr>
        <w:pStyle w:val="17"/>
        <w:tabs>
          <w:tab w:val="left" w:pos="775"/>
        </w:tabs>
        <w:spacing w:line="591" w:lineRule="exact"/>
        <w:ind w:firstLine="0"/>
        <w:jc w:val="both"/>
        <w:rPr>
          <w:rFonts w:ascii="仿宋_GB2312" w:hAnsi="仿宋_GB2312" w:eastAsia="PMingLiU" w:cs="仿宋_GB2312"/>
          <w:color w:val="auto"/>
          <w:kern w:val="0"/>
          <w:sz w:val="32"/>
          <w:szCs w:val="32"/>
        </w:rPr>
      </w:pPr>
    </w:p>
    <w:p>
      <w:pPr>
        <w:spacing w:line="600" w:lineRule="exact"/>
        <w:jc w:val="left"/>
        <w:rPr>
          <w:rFonts w:ascii="方正小标宋简体" w:hAnsi="Calibri" w:eastAsia="方正小标宋简体" w:cs="Times New Roman"/>
          <w:color w:val="auto"/>
          <w:kern w:val="0"/>
          <w:sz w:val="44"/>
          <w:szCs w:val="44"/>
        </w:rPr>
      </w:pPr>
      <w:bookmarkStart w:id="0" w:name="bookmark24"/>
      <w:bookmarkStart w:id="1" w:name="bookmark25"/>
      <w:bookmarkStart w:id="2" w:name="bookmark23"/>
      <w:r>
        <w:rPr>
          <w:rFonts w:hint="eastAsia" w:ascii="黑体" w:hAnsi="黑体" w:eastAsia="黑体"/>
          <w:color w:val="auto"/>
          <w:sz w:val="32"/>
          <w:szCs w:val="32"/>
        </w:rPr>
        <w:t>附件2</w:t>
      </w:r>
    </w:p>
    <w:p>
      <w:pPr>
        <w:snapToGrid w:val="0"/>
        <w:jc w:val="center"/>
        <w:rPr>
          <w:rFonts w:ascii="方正小标宋简体" w:hAnsi="Calibri" w:eastAsia="方正小标宋简体" w:cs="Times New Roman"/>
          <w:color w:val="auto"/>
          <w:kern w:val="0"/>
          <w:sz w:val="44"/>
          <w:szCs w:val="44"/>
        </w:rPr>
      </w:pPr>
      <w:r>
        <w:rPr>
          <w:rFonts w:hint="eastAsia" w:ascii="方正小标宋简体" w:hAnsi="Calibri" w:eastAsia="方正小标宋简体" w:cs="Times New Roman"/>
          <w:color w:val="auto"/>
          <w:kern w:val="0"/>
          <w:sz w:val="44"/>
          <w:szCs w:val="44"/>
        </w:rPr>
        <w:t>“基础教育精品课”推荐名额分配表</w:t>
      </w:r>
      <w:bookmarkEnd w:id="0"/>
      <w:bookmarkEnd w:id="1"/>
      <w:bookmarkEnd w:id="2"/>
    </w:p>
    <w:tbl>
      <w:tblPr>
        <w:tblStyle w:val="9"/>
        <w:tblW w:w="6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358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color w:val="auto"/>
                <w:kern w:val="0"/>
                <w:sz w:val="24"/>
                <w:szCs w:val="24"/>
              </w:rPr>
            </w:pPr>
            <w:r>
              <w:rPr>
                <w:rFonts w:hint="eastAsia" w:ascii="黑体" w:hAnsi="宋体" w:eastAsia="黑体" w:cs="宋体"/>
                <w:bCs/>
                <w:color w:val="auto"/>
                <w:kern w:val="0"/>
                <w:sz w:val="24"/>
                <w:szCs w:val="24"/>
              </w:rPr>
              <w:t>序号</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ascii="黑体" w:hAnsi="宋体" w:eastAsia="黑体" w:cs="宋体"/>
                <w:bCs/>
                <w:color w:val="auto"/>
                <w:kern w:val="0"/>
                <w:sz w:val="24"/>
                <w:szCs w:val="24"/>
              </w:rPr>
            </w:pPr>
            <w:r>
              <w:rPr>
                <w:rFonts w:hint="eastAsia" w:ascii="黑体" w:hAnsi="宋体" w:eastAsia="黑体" w:cs="宋体"/>
                <w:bCs/>
                <w:color w:val="auto"/>
                <w:kern w:val="0"/>
                <w:sz w:val="24"/>
                <w:szCs w:val="24"/>
              </w:rPr>
              <w:t>地  区</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rPr>
                <w:rFonts w:ascii="黑体" w:hAnsi="宋体" w:eastAsia="黑体" w:cs="宋体"/>
                <w:bCs/>
                <w:color w:val="auto"/>
                <w:kern w:val="0"/>
                <w:sz w:val="24"/>
                <w:szCs w:val="24"/>
              </w:rPr>
            </w:pPr>
            <w:r>
              <w:rPr>
                <w:rFonts w:hint="eastAsia" w:ascii="黑体" w:hAnsi="宋体" w:eastAsia="黑体" w:cs="宋体"/>
                <w:bCs/>
                <w:color w:val="auto"/>
                <w:kern w:val="0"/>
                <w:sz w:val="24"/>
                <w:szCs w:val="24"/>
              </w:rPr>
              <w:t>名额（节）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郑州市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开封市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3</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洛阳市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4</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平顶山市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5</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安阳市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6</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鹤壁市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7</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新乡市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8</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焦作市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9</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濮阳市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10</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许昌市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11</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漯河市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12</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三门峡市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13</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南阳市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14</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商丘市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15</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信阳市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16</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周口市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17</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驻马店市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18</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济源示范区</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19</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巩义市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20</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兰考县</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21</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汝州市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22</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滑县</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23</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长垣市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24</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邓州市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25</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永城市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26</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固始县</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27</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鹿邑县</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28</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新蔡县</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color w:val="auto"/>
                <w:kern w:val="0"/>
                <w:sz w:val="22"/>
              </w:rPr>
            </w:pPr>
            <w:r>
              <w:rPr>
                <w:rFonts w:hint="eastAsia" w:ascii="宋体" w:hAnsi="宋体" w:eastAsia="宋体" w:cs="宋体"/>
                <w:color w:val="auto"/>
                <w:kern w:val="0"/>
                <w:sz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29</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厅直属中小学校</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rPr>
                <w:rFonts w:ascii="仿宋_GB2312"/>
                <w:color w:val="auto"/>
                <w:kern w:val="0"/>
                <w:sz w:val="22"/>
              </w:rPr>
            </w:pPr>
            <w:r>
              <w:rPr>
                <w:rFonts w:hint="eastAsia" w:ascii="仿宋_GB2312"/>
                <w:color w:val="auto"/>
                <w:kern w:val="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60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b/>
                <w:color w:val="auto"/>
                <w:kern w:val="0"/>
                <w:sz w:val="22"/>
              </w:rPr>
            </w:pPr>
            <w:r>
              <w:rPr>
                <w:rFonts w:hint="eastAsia" w:ascii="仿宋_GB2312" w:hAnsi="宋体" w:cs="宋体"/>
                <w:b/>
                <w:color w:val="auto"/>
                <w:kern w:val="0"/>
                <w:sz w:val="24"/>
                <w:szCs w:val="24"/>
              </w:rPr>
              <w:t>合   计</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textAlignment w:val="center"/>
              <w:rPr>
                <w:rFonts w:ascii="仿宋_GB2312" w:hAnsi="宋体"/>
                <w:b/>
                <w:color w:val="auto"/>
                <w:kern w:val="0"/>
                <w:sz w:val="22"/>
              </w:rPr>
            </w:pPr>
            <w:r>
              <w:rPr>
                <w:rFonts w:hint="eastAsia" w:ascii="仿宋_GB2312" w:hAnsi="宋体"/>
                <w:b/>
                <w:color w:val="auto"/>
                <w:kern w:val="0"/>
                <w:sz w:val="22"/>
              </w:rPr>
              <w:t>2430</w:t>
            </w:r>
          </w:p>
        </w:tc>
      </w:tr>
    </w:tbl>
    <w:p>
      <w:pPr>
        <w:pStyle w:val="17"/>
        <w:tabs>
          <w:tab w:val="left" w:pos="775"/>
        </w:tabs>
        <w:spacing w:line="591" w:lineRule="exact"/>
        <w:ind w:firstLine="0"/>
        <w:jc w:val="both"/>
        <w:rPr>
          <w:rFonts w:ascii="仿宋_GB2312" w:hAnsi="仿宋_GB2312" w:eastAsia="PMingLiU" w:cs="仿宋_GB2312"/>
          <w:color w:val="auto"/>
          <w:kern w:val="0"/>
          <w:sz w:val="32"/>
          <w:szCs w:val="32"/>
        </w:rPr>
      </w:pPr>
    </w:p>
    <w:p>
      <w:pPr>
        <w:pStyle w:val="17"/>
        <w:tabs>
          <w:tab w:val="left" w:pos="775"/>
        </w:tabs>
        <w:spacing w:line="591" w:lineRule="exact"/>
        <w:ind w:firstLine="0"/>
        <w:jc w:val="both"/>
        <w:rPr>
          <w:rFonts w:ascii="仿宋_GB2312" w:hAnsi="仿宋_GB2312" w:eastAsia="PMingLiU" w:cs="仿宋_GB2312"/>
          <w:color w:val="auto"/>
          <w:kern w:val="0"/>
          <w:sz w:val="32"/>
          <w:szCs w:val="32"/>
        </w:rPr>
      </w:pPr>
    </w:p>
    <w:p>
      <w:pPr>
        <w:spacing w:line="600" w:lineRule="exact"/>
        <w:rPr>
          <w:rFonts w:hint="eastAsia" w:ascii="黑体" w:hAnsi="黑体" w:eastAsia="黑体"/>
          <w:color w:val="auto"/>
          <w:sz w:val="32"/>
          <w:szCs w:val="32"/>
        </w:rPr>
      </w:pPr>
    </w:p>
    <w:p>
      <w:pPr>
        <w:spacing w:line="600" w:lineRule="exact"/>
        <w:rPr>
          <w:rFonts w:hint="eastAsia" w:ascii="黑体" w:hAnsi="黑体" w:eastAsia="黑体"/>
          <w:color w:val="auto"/>
          <w:sz w:val="32"/>
          <w:szCs w:val="32"/>
        </w:rPr>
      </w:pPr>
    </w:p>
    <w:p>
      <w:pPr>
        <w:spacing w:line="600" w:lineRule="exact"/>
        <w:rPr>
          <w:rFonts w:ascii="黑体" w:hAnsi="黑体" w:eastAsia="黑体"/>
          <w:color w:val="auto"/>
          <w:sz w:val="32"/>
          <w:szCs w:val="32"/>
        </w:rPr>
      </w:pPr>
      <w:r>
        <w:rPr>
          <w:rFonts w:hint="eastAsia" w:ascii="黑体" w:hAnsi="黑体" w:eastAsia="黑体"/>
          <w:color w:val="auto"/>
          <w:sz w:val="32"/>
          <w:szCs w:val="32"/>
        </w:rPr>
        <w:t>附件3</w:t>
      </w:r>
    </w:p>
    <w:p>
      <w:pPr>
        <w:snapToGrid w:val="0"/>
        <w:jc w:val="center"/>
        <w:rPr>
          <w:rFonts w:ascii="方正小标宋简体" w:hAnsi="Calibri" w:eastAsia="方正小标宋简体" w:cs="Times New Roman"/>
          <w:color w:val="auto"/>
          <w:kern w:val="0"/>
          <w:sz w:val="44"/>
          <w:szCs w:val="44"/>
        </w:rPr>
      </w:pPr>
      <w:r>
        <w:rPr>
          <w:rFonts w:hint="eastAsia" w:ascii="方正小标宋简体" w:hAnsi="Calibri" w:eastAsia="方正小标宋简体" w:cs="Times New Roman"/>
          <w:color w:val="auto"/>
          <w:kern w:val="0"/>
          <w:sz w:val="44"/>
          <w:szCs w:val="44"/>
        </w:rPr>
        <w:t>2021年“基础教育精品课”</w:t>
      </w:r>
    </w:p>
    <w:p>
      <w:pPr>
        <w:snapToGrid w:val="0"/>
        <w:jc w:val="center"/>
        <w:rPr>
          <w:rFonts w:ascii="方正小标宋简体" w:hAnsi="Calibri" w:eastAsia="方正小标宋简体" w:cs="Times New Roman"/>
          <w:color w:val="auto"/>
          <w:kern w:val="0"/>
          <w:sz w:val="44"/>
          <w:szCs w:val="44"/>
        </w:rPr>
      </w:pPr>
      <w:r>
        <w:rPr>
          <w:rFonts w:hint="eastAsia" w:ascii="方正小标宋简体" w:hAnsi="Calibri" w:eastAsia="方正小标宋简体" w:cs="Times New Roman"/>
          <w:color w:val="auto"/>
          <w:kern w:val="0"/>
          <w:sz w:val="44"/>
          <w:szCs w:val="44"/>
        </w:rPr>
        <w:t>评价指标</w:t>
      </w:r>
    </w:p>
    <w:tbl>
      <w:tblPr>
        <w:tblStyle w:val="10"/>
        <w:tblW w:w="7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276"/>
        <w:gridCol w:w="4536"/>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13" w:type="dxa"/>
            <w:vMerge w:val="restart"/>
            <w:vAlign w:val="center"/>
          </w:tcPr>
          <w:p>
            <w:pPr>
              <w:widowControl/>
              <w:adjustRightInd w:val="0"/>
              <w:snapToGrid w:val="0"/>
              <w:jc w:val="center"/>
              <w:rPr>
                <w:rFonts w:ascii="仿宋_GB2312" w:hAnsi="宋体" w:eastAsia="仿宋_GB2312" w:cs="宋体"/>
                <w:b/>
                <w:bCs/>
                <w:color w:val="auto"/>
                <w:kern w:val="0"/>
                <w:sz w:val="24"/>
                <w:szCs w:val="20"/>
              </w:rPr>
            </w:pPr>
            <w:r>
              <w:rPr>
                <w:rFonts w:hint="eastAsia" w:ascii="仿宋_GB2312" w:hAnsi="宋体" w:eastAsia="仿宋_GB2312" w:cs="宋体"/>
                <w:b/>
                <w:bCs/>
                <w:color w:val="auto"/>
                <w:kern w:val="0"/>
                <w:sz w:val="24"/>
                <w:szCs w:val="20"/>
              </w:rPr>
              <w:t>一级指标</w:t>
            </w:r>
          </w:p>
        </w:tc>
        <w:tc>
          <w:tcPr>
            <w:tcW w:w="1276" w:type="dxa"/>
            <w:vMerge w:val="restart"/>
            <w:vAlign w:val="center"/>
          </w:tcPr>
          <w:p>
            <w:pPr>
              <w:widowControl/>
              <w:adjustRightInd w:val="0"/>
              <w:snapToGrid w:val="0"/>
              <w:jc w:val="center"/>
              <w:rPr>
                <w:rFonts w:ascii="仿宋_GB2312" w:hAnsi="宋体" w:eastAsia="仿宋_GB2312" w:cs="宋体"/>
                <w:b/>
                <w:bCs/>
                <w:color w:val="auto"/>
                <w:kern w:val="0"/>
                <w:sz w:val="24"/>
                <w:szCs w:val="20"/>
              </w:rPr>
            </w:pPr>
            <w:r>
              <w:rPr>
                <w:rFonts w:hint="eastAsia" w:ascii="仿宋_GB2312" w:hAnsi="宋体" w:eastAsia="仿宋_GB2312" w:cs="宋体"/>
                <w:b/>
                <w:bCs/>
                <w:color w:val="auto"/>
                <w:kern w:val="0"/>
                <w:sz w:val="24"/>
                <w:szCs w:val="20"/>
              </w:rPr>
              <w:t>二级    指标</w:t>
            </w:r>
          </w:p>
        </w:tc>
        <w:tc>
          <w:tcPr>
            <w:tcW w:w="4536" w:type="dxa"/>
            <w:vMerge w:val="restart"/>
            <w:vAlign w:val="center"/>
          </w:tcPr>
          <w:p>
            <w:pPr>
              <w:widowControl/>
              <w:adjustRightInd w:val="0"/>
              <w:snapToGrid w:val="0"/>
              <w:jc w:val="center"/>
              <w:rPr>
                <w:rFonts w:ascii="仿宋_GB2312" w:hAnsi="宋体" w:eastAsia="仿宋_GB2312" w:cs="宋体"/>
                <w:b/>
                <w:bCs/>
                <w:color w:val="auto"/>
                <w:kern w:val="0"/>
                <w:sz w:val="24"/>
                <w:szCs w:val="20"/>
              </w:rPr>
            </w:pPr>
            <w:r>
              <w:rPr>
                <w:rFonts w:hint="eastAsia" w:ascii="仿宋_GB2312" w:hAnsi="宋体" w:eastAsia="仿宋_GB2312" w:cs="宋体"/>
                <w:b/>
                <w:bCs/>
                <w:color w:val="auto"/>
                <w:kern w:val="0"/>
                <w:sz w:val="24"/>
                <w:szCs w:val="20"/>
              </w:rPr>
              <w:t>指标描述</w:t>
            </w:r>
          </w:p>
        </w:tc>
        <w:tc>
          <w:tcPr>
            <w:tcW w:w="790" w:type="dxa"/>
            <w:vMerge w:val="restart"/>
            <w:vAlign w:val="center"/>
          </w:tcPr>
          <w:p>
            <w:pPr>
              <w:widowControl/>
              <w:adjustRightInd w:val="0"/>
              <w:snapToGrid w:val="0"/>
              <w:jc w:val="center"/>
              <w:rPr>
                <w:rFonts w:ascii="仿宋_GB2312" w:hAnsi="Calibri" w:eastAsia="仿宋_GB2312" w:cs="Times New Roman"/>
                <w:color w:val="auto"/>
                <w:kern w:val="0"/>
                <w:sz w:val="20"/>
                <w:szCs w:val="20"/>
              </w:rPr>
            </w:pPr>
            <w:r>
              <w:rPr>
                <w:rFonts w:hint="eastAsia" w:ascii="仿宋_GB2312" w:hAnsi="宋体" w:eastAsia="仿宋_GB2312" w:cs="宋体"/>
                <w:b/>
                <w:bCs/>
                <w:color w:val="auto"/>
                <w:kern w:val="0"/>
                <w:sz w:val="24"/>
                <w:szCs w:val="20"/>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13" w:type="dxa"/>
            <w:vMerge w:val="continue"/>
            <w:vAlign w:val="center"/>
          </w:tcPr>
          <w:p>
            <w:pPr>
              <w:widowControl/>
              <w:adjustRightInd w:val="0"/>
              <w:snapToGrid w:val="0"/>
              <w:jc w:val="center"/>
              <w:rPr>
                <w:rFonts w:ascii="仿宋_GB2312" w:hAnsi="宋体" w:eastAsia="仿宋_GB2312" w:cs="宋体"/>
                <w:b/>
                <w:bCs/>
                <w:color w:val="auto"/>
                <w:kern w:val="0"/>
                <w:sz w:val="24"/>
                <w:szCs w:val="20"/>
              </w:rPr>
            </w:pPr>
          </w:p>
        </w:tc>
        <w:tc>
          <w:tcPr>
            <w:tcW w:w="1276" w:type="dxa"/>
            <w:vMerge w:val="continue"/>
            <w:vAlign w:val="center"/>
          </w:tcPr>
          <w:p>
            <w:pPr>
              <w:widowControl/>
              <w:adjustRightInd w:val="0"/>
              <w:snapToGrid w:val="0"/>
              <w:jc w:val="center"/>
              <w:rPr>
                <w:rFonts w:ascii="仿宋_GB2312" w:hAnsi="宋体" w:eastAsia="仿宋_GB2312" w:cs="宋体"/>
                <w:b/>
                <w:bCs/>
                <w:color w:val="auto"/>
                <w:kern w:val="0"/>
                <w:sz w:val="24"/>
                <w:szCs w:val="20"/>
              </w:rPr>
            </w:pPr>
          </w:p>
        </w:tc>
        <w:tc>
          <w:tcPr>
            <w:tcW w:w="4536" w:type="dxa"/>
            <w:vMerge w:val="continue"/>
          </w:tcPr>
          <w:p>
            <w:pPr>
              <w:widowControl/>
              <w:adjustRightInd w:val="0"/>
              <w:snapToGrid w:val="0"/>
              <w:jc w:val="left"/>
              <w:rPr>
                <w:rFonts w:ascii="仿宋_GB2312" w:hAnsi="宋体" w:eastAsia="仿宋_GB2312" w:cs="宋体"/>
                <w:b/>
                <w:bCs/>
                <w:color w:val="auto"/>
                <w:kern w:val="0"/>
                <w:sz w:val="24"/>
                <w:szCs w:val="20"/>
              </w:rPr>
            </w:pPr>
          </w:p>
        </w:tc>
        <w:tc>
          <w:tcPr>
            <w:tcW w:w="790" w:type="dxa"/>
            <w:vMerge w:val="continue"/>
            <w:vAlign w:val="center"/>
          </w:tcPr>
          <w:p>
            <w:pPr>
              <w:widowControl/>
              <w:adjustRightInd w:val="0"/>
              <w:snapToGrid w:val="0"/>
              <w:jc w:val="center"/>
              <w:rPr>
                <w:rFonts w:ascii="仿宋_GB2312" w:hAnsi="Calibri" w:eastAsia="仿宋_GB2312"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13" w:type="dxa"/>
            <w:vMerge w:val="restart"/>
            <w:vAlign w:val="center"/>
          </w:tcPr>
          <w:p>
            <w:pPr>
              <w:widowControl/>
              <w:adjustRightInd w:val="0"/>
              <w:snapToGrid w:val="0"/>
              <w:jc w:val="center"/>
              <w:rPr>
                <w:rFonts w:ascii="仿宋_GB2312" w:hAnsi="宋体" w:eastAsia="仿宋_GB2312" w:cs="宋体"/>
                <w:b/>
                <w:bCs/>
                <w:color w:val="auto"/>
                <w:kern w:val="0"/>
                <w:sz w:val="24"/>
                <w:szCs w:val="20"/>
              </w:rPr>
            </w:pPr>
            <w:r>
              <w:rPr>
                <w:rFonts w:ascii="仿宋_GB2312" w:hAnsi="宋体" w:eastAsia="仿宋_GB2312" w:cs="宋体"/>
                <w:b/>
                <w:bCs/>
                <w:color w:val="auto"/>
                <w:kern w:val="0"/>
                <w:sz w:val="24"/>
                <w:szCs w:val="20"/>
              </w:rPr>
              <w:t>目标</w:t>
            </w:r>
          </w:p>
          <w:p>
            <w:pPr>
              <w:adjustRightInd w:val="0"/>
              <w:snapToGrid w:val="0"/>
              <w:jc w:val="center"/>
              <w:rPr>
                <w:rFonts w:ascii="仿宋_GB2312" w:hAnsi="宋体" w:eastAsia="仿宋_GB2312" w:cs="宋体"/>
                <w:b/>
                <w:bCs/>
                <w:color w:val="auto"/>
                <w:kern w:val="0"/>
                <w:sz w:val="24"/>
                <w:szCs w:val="20"/>
              </w:rPr>
            </w:pPr>
            <w:r>
              <w:rPr>
                <w:rFonts w:hint="eastAsia" w:ascii="仿宋_GB2312" w:hAnsi="宋体" w:eastAsia="仿宋_GB2312" w:cs="宋体"/>
                <w:b/>
                <w:color w:val="auto"/>
                <w:kern w:val="0"/>
                <w:sz w:val="24"/>
                <w:szCs w:val="20"/>
              </w:rPr>
              <w:t>内容</w:t>
            </w:r>
          </w:p>
        </w:tc>
        <w:tc>
          <w:tcPr>
            <w:tcW w:w="1276" w:type="dxa"/>
            <w:vAlign w:val="center"/>
          </w:tcPr>
          <w:p>
            <w:pPr>
              <w:widowControl/>
              <w:adjustRightInd w:val="0"/>
              <w:snapToGrid w:val="0"/>
              <w:jc w:val="center"/>
              <w:rPr>
                <w:rFonts w:ascii="仿宋_GB2312" w:hAnsi="宋体" w:eastAsia="仿宋_GB2312" w:cs="宋体"/>
                <w:bCs/>
                <w:color w:val="auto"/>
                <w:kern w:val="0"/>
                <w:sz w:val="24"/>
                <w:szCs w:val="20"/>
              </w:rPr>
            </w:pPr>
            <w:r>
              <w:rPr>
                <w:rFonts w:hint="eastAsia" w:ascii="仿宋_GB2312" w:hAnsi="宋体" w:eastAsia="仿宋_GB2312" w:cs="宋体"/>
                <w:bCs/>
                <w:color w:val="auto"/>
                <w:kern w:val="0"/>
                <w:sz w:val="24"/>
                <w:szCs w:val="20"/>
              </w:rPr>
              <w:t>教学</w:t>
            </w:r>
            <w:r>
              <w:rPr>
                <w:rFonts w:ascii="仿宋_GB2312" w:hAnsi="宋体" w:eastAsia="仿宋_GB2312" w:cs="宋体"/>
                <w:bCs/>
                <w:color w:val="auto"/>
                <w:kern w:val="0"/>
                <w:sz w:val="24"/>
                <w:szCs w:val="20"/>
              </w:rPr>
              <w:t>目标</w:t>
            </w:r>
            <w:r>
              <w:rPr>
                <w:rFonts w:hint="eastAsia" w:ascii="仿宋_GB2312" w:hAnsi="宋体" w:eastAsia="仿宋_GB2312" w:cs="宋体"/>
                <w:bCs/>
                <w:color w:val="auto"/>
                <w:kern w:val="0"/>
                <w:sz w:val="24"/>
                <w:szCs w:val="20"/>
              </w:rPr>
              <w:t>科学</w:t>
            </w:r>
            <w:r>
              <w:rPr>
                <w:rFonts w:ascii="仿宋_GB2312" w:hAnsi="宋体" w:eastAsia="仿宋_GB2312" w:cs="宋体"/>
                <w:bCs/>
                <w:color w:val="auto"/>
                <w:kern w:val="0"/>
                <w:sz w:val="24"/>
                <w:szCs w:val="20"/>
              </w:rPr>
              <w:t>合理</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落实立德树人根本任务，培育与践行社会主义核心价值观，</w:t>
            </w:r>
            <w:r>
              <w:rPr>
                <w:rFonts w:ascii="仿宋_GB2312" w:hAnsi="宋体" w:eastAsia="仿宋_GB2312" w:cs="宋体"/>
                <w:color w:val="auto"/>
                <w:kern w:val="0"/>
                <w:sz w:val="24"/>
                <w:szCs w:val="20"/>
              </w:rPr>
              <w:t>体现核心素养导向</w:t>
            </w:r>
            <w:r>
              <w:rPr>
                <w:rFonts w:hint="eastAsia" w:ascii="仿宋_GB2312" w:hAnsi="宋体" w:eastAsia="仿宋_GB2312" w:cs="宋体"/>
                <w:color w:val="auto"/>
                <w:kern w:val="0"/>
                <w:sz w:val="24"/>
                <w:szCs w:val="20"/>
              </w:rPr>
              <w:t>；教学目标明确具体</w:t>
            </w:r>
            <w:r>
              <w:rPr>
                <w:rFonts w:ascii="仿宋_GB2312" w:hAnsi="宋体" w:eastAsia="仿宋_GB2312" w:cs="宋体"/>
                <w:color w:val="auto"/>
                <w:kern w:val="0"/>
                <w:sz w:val="24"/>
                <w:szCs w:val="20"/>
              </w:rPr>
              <w:t>、可检测</w:t>
            </w:r>
            <w:r>
              <w:rPr>
                <w:rFonts w:hint="eastAsia" w:ascii="仿宋_GB2312" w:hAnsi="宋体" w:eastAsia="仿宋_GB2312" w:cs="宋体"/>
                <w:color w:val="auto"/>
                <w:kern w:val="0"/>
                <w:sz w:val="24"/>
                <w:szCs w:val="20"/>
              </w:rPr>
              <w:t>，重难点突出。</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hint="eastAsia" w:ascii="Times New Roman" w:hAnsi="Times New Roman" w:eastAsia="仿宋_GB2312" w:cs="Times New Roman"/>
                <w:color w:val="auto"/>
                <w:kern w:val="0"/>
                <w:sz w:val="28"/>
                <w:szCs w:val="20"/>
              </w:rPr>
              <w:t>1</w:t>
            </w:r>
            <w:r>
              <w:rPr>
                <w:rFonts w:ascii="Times New Roman" w:hAnsi="Times New Roman" w:eastAsia="仿宋_GB2312" w:cs="Times New Roman"/>
                <w:color w:val="auto"/>
                <w:kern w:val="0"/>
                <w:sz w:val="2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913" w:type="dxa"/>
            <w:vMerge w:val="continue"/>
            <w:vAlign w:val="center"/>
          </w:tcPr>
          <w:p>
            <w:pPr>
              <w:widowControl/>
              <w:adjustRightInd w:val="0"/>
              <w:snapToGrid w:val="0"/>
              <w:jc w:val="center"/>
              <w:rPr>
                <w:rFonts w:ascii="仿宋_GB2312" w:hAnsi="宋体" w:eastAsia="仿宋_GB2312" w:cs="宋体"/>
                <w:b/>
                <w:color w:val="auto"/>
                <w:kern w:val="0"/>
                <w:sz w:val="24"/>
                <w:szCs w:val="20"/>
              </w:rPr>
            </w:pP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教学内容</w:t>
            </w:r>
          </w:p>
          <w:p>
            <w:pPr>
              <w:widowControl/>
              <w:adjustRightInd w:val="0"/>
              <w:snapToGrid w:val="0"/>
              <w:jc w:val="center"/>
              <w:rPr>
                <w:rFonts w:ascii="仿宋_GB2312" w:hAnsi="Calibri" w:eastAsia="仿宋_GB2312" w:cs="Times New Roman"/>
                <w:color w:val="auto"/>
                <w:kern w:val="0"/>
                <w:sz w:val="24"/>
                <w:szCs w:val="20"/>
              </w:rPr>
            </w:pPr>
            <w:r>
              <w:rPr>
                <w:rFonts w:hint="eastAsia" w:ascii="仿宋_GB2312" w:hAnsi="仿宋_GB2312" w:eastAsia="仿宋_GB2312" w:cs="仿宋_GB2312"/>
                <w:color w:val="auto"/>
                <w:kern w:val="0"/>
                <w:sz w:val="24"/>
                <w:szCs w:val="20"/>
              </w:rPr>
              <w:t>组织科学</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教学</w:t>
            </w:r>
            <w:r>
              <w:rPr>
                <w:rFonts w:ascii="仿宋_GB2312" w:hAnsi="宋体" w:eastAsia="仿宋_GB2312" w:cs="宋体"/>
                <w:color w:val="auto"/>
                <w:kern w:val="0"/>
                <w:sz w:val="24"/>
                <w:szCs w:val="20"/>
              </w:rPr>
              <w:t>内容符合</w:t>
            </w:r>
            <w:r>
              <w:rPr>
                <w:rFonts w:hint="eastAsia" w:ascii="仿宋_GB2312" w:hAnsi="宋体" w:eastAsia="仿宋_GB2312" w:cs="宋体"/>
                <w:color w:val="auto"/>
                <w:kern w:val="0"/>
                <w:sz w:val="24"/>
                <w:szCs w:val="20"/>
              </w:rPr>
              <w:t>课程</w:t>
            </w:r>
            <w:r>
              <w:rPr>
                <w:rFonts w:ascii="仿宋_GB2312" w:hAnsi="宋体" w:eastAsia="仿宋_GB2312" w:cs="宋体"/>
                <w:color w:val="auto"/>
                <w:kern w:val="0"/>
                <w:sz w:val="24"/>
                <w:szCs w:val="20"/>
              </w:rPr>
              <w:t>标准要求</w:t>
            </w:r>
            <w:r>
              <w:rPr>
                <w:rFonts w:hint="eastAsia" w:ascii="仿宋_GB2312" w:hAnsi="宋体" w:eastAsia="仿宋_GB2312" w:cs="宋体"/>
                <w:color w:val="auto"/>
                <w:kern w:val="0"/>
                <w:sz w:val="24"/>
                <w:szCs w:val="20"/>
              </w:rPr>
              <w:t>和</w:t>
            </w:r>
            <w:r>
              <w:rPr>
                <w:rFonts w:ascii="仿宋_GB2312" w:hAnsi="宋体" w:eastAsia="仿宋_GB2312" w:cs="宋体"/>
                <w:color w:val="auto"/>
                <w:kern w:val="0"/>
                <w:sz w:val="24"/>
                <w:szCs w:val="20"/>
              </w:rPr>
              <w:t>学生认知</w:t>
            </w:r>
            <w:r>
              <w:rPr>
                <w:rFonts w:hint="eastAsia" w:ascii="仿宋_GB2312" w:hAnsi="宋体" w:eastAsia="仿宋_GB2312" w:cs="宋体"/>
                <w:color w:val="auto"/>
                <w:kern w:val="0"/>
                <w:sz w:val="24"/>
                <w:szCs w:val="20"/>
              </w:rPr>
              <w:t>规律，注重培养</w:t>
            </w:r>
            <w:r>
              <w:rPr>
                <w:rFonts w:ascii="仿宋_GB2312" w:hAnsi="宋体" w:eastAsia="仿宋_GB2312" w:cs="宋体"/>
                <w:color w:val="auto"/>
                <w:kern w:val="0"/>
                <w:sz w:val="24"/>
                <w:szCs w:val="20"/>
              </w:rPr>
              <w:t>学生能力</w:t>
            </w:r>
            <w:r>
              <w:rPr>
                <w:rFonts w:hint="eastAsia" w:ascii="仿宋_GB2312" w:hAnsi="宋体" w:eastAsia="仿宋_GB2312" w:cs="宋体"/>
                <w:color w:val="auto"/>
                <w:kern w:val="0"/>
                <w:sz w:val="24"/>
                <w:szCs w:val="20"/>
              </w:rPr>
              <w:t>；覆盖该课所含知识，课时</w:t>
            </w:r>
            <w:r>
              <w:rPr>
                <w:rFonts w:ascii="仿宋_GB2312" w:hAnsi="宋体" w:eastAsia="仿宋_GB2312" w:cs="宋体"/>
                <w:color w:val="auto"/>
                <w:kern w:val="0"/>
                <w:sz w:val="24"/>
                <w:szCs w:val="20"/>
              </w:rPr>
              <w:t>安排合理</w:t>
            </w:r>
            <w:r>
              <w:rPr>
                <w:rFonts w:hint="eastAsia" w:ascii="仿宋_GB2312" w:hAnsi="宋体" w:eastAsia="仿宋_GB2312" w:cs="宋体"/>
                <w:color w:val="auto"/>
                <w:kern w:val="0"/>
                <w:sz w:val="24"/>
                <w:szCs w:val="20"/>
              </w:rPr>
              <w:t>。</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hint="eastAsia" w:ascii="Times New Roman" w:hAnsi="Times New Roman" w:eastAsia="仿宋_GB2312" w:cs="Times New Roman"/>
                <w:color w:val="auto"/>
                <w:kern w:val="0"/>
                <w:sz w:val="28"/>
                <w:szCs w:val="20"/>
              </w:rPr>
              <w:t>1</w:t>
            </w:r>
            <w:r>
              <w:rPr>
                <w:rFonts w:ascii="Times New Roman" w:hAnsi="Times New Roman" w:eastAsia="仿宋_GB2312" w:cs="Times New Roman"/>
                <w:color w:val="auto"/>
                <w:kern w:val="0"/>
                <w:sz w:val="2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13" w:type="dxa"/>
            <w:vMerge w:val="restart"/>
            <w:vAlign w:val="center"/>
          </w:tcPr>
          <w:p>
            <w:pPr>
              <w:widowControl/>
              <w:adjustRightInd w:val="0"/>
              <w:snapToGrid w:val="0"/>
              <w:jc w:val="center"/>
              <w:rPr>
                <w:rFonts w:ascii="仿宋_GB2312" w:hAnsi="宋体" w:eastAsia="仿宋_GB2312" w:cs="宋体"/>
                <w:b/>
                <w:color w:val="auto"/>
                <w:kern w:val="0"/>
                <w:sz w:val="24"/>
                <w:szCs w:val="20"/>
              </w:rPr>
            </w:pPr>
            <w:r>
              <w:rPr>
                <w:rFonts w:hint="eastAsia" w:ascii="仿宋_GB2312" w:hAnsi="宋体" w:eastAsia="仿宋_GB2312" w:cs="宋体"/>
                <w:b/>
                <w:color w:val="auto"/>
                <w:kern w:val="0"/>
                <w:sz w:val="24"/>
                <w:szCs w:val="20"/>
              </w:rPr>
              <w:t>教学过程</w:t>
            </w: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教学环节</w:t>
            </w:r>
          </w:p>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流畅紧凑</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教学</w:t>
            </w:r>
            <w:r>
              <w:rPr>
                <w:rFonts w:ascii="仿宋_GB2312" w:hAnsi="宋体" w:eastAsia="仿宋_GB2312" w:cs="宋体"/>
                <w:color w:val="auto"/>
                <w:kern w:val="0"/>
                <w:sz w:val="24"/>
                <w:szCs w:val="20"/>
              </w:rPr>
              <w:t>过程</w:t>
            </w:r>
            <w:r>
              <w:rPr>
                <w:rFonts w:hint="eastAsia" w:ascii="仿宋_GB2312" w:hAnsi="宋体" w:eastAsia="仿宋_GB2312" w:cs="宋体"/>
                <w:color w:val="auto"/>
                <w:kern w:val="0"/>
                <w:sz w:val="24"/>
                <w:szCs w:val="20"/>
              </w:rPr>
              <w:t>包含必要的教学环节，层次</w:t>
            </w:r>
            <w:r>
              <w:rPr>
                <w:rFonts w:ascii="仿宋_GB2312" w:hAnsi="宋体" w:eastAsia="仿宋_GB2312" w:cs="宋体"/>
                <w:color w:val="auto"/>
                <w:kern w:val="0"/>
                <w:sz w:val="24"/>
                <w:szCs w:val="20"/>
              </w:rPr>
              <w:t>清晰</w:t>
            </w:r>
            <w:r>
              <w:rPr>
                <w:rFonts w:hint="eastAsia" w:ascii="仿宋_GB2312" w:hAnsi="宋体" w:eastAsia="仿宋_GB2312" w:cs="宋体"/>
                <w:color w:val="auto"/>
                <w:kern w:val="0"/>
                <w:sz w:val="24"/>
                <w:szCs w:val="20"/>
              </w:rPr>
              <w:t>，过程流畅；课堂容量适当，时间分配合理。</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ascii="Times New Roman" w:hAnsi="Times New Roman" w:eastAsia="仿宋_GB2312" w:cs="Times New Roman"/>
                <w:color w:val="auto"/>
                <w:kern w:val="0"/>
                <w:sz w:val="28"/>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913" w:type="dxa"/>
            <w:vMerge w:val="continue"/>
            <w:vAlign w:val="center"/>
          </w:tcPr>
          <w:p>
            <w:pPr>
              <w:widowControl/>
              <w:adjustRightInd w:val="0"/>
              <w:snapToGrid w:val="0"/>
              <w:jc w:val="center"/>
              <w:rPr>
                <w:rFonts w:ascii="仿宋_GB2312" w:hAnsi="宋体" w:eastAsia="仿宋_GB2312" w:cs="宋体"/>
                <w:b/>
                <w:color w:val="auto"/>
                <w:kern w:val="0"/>
                <w:sz w:val="24"/>
                <w:szCs w:val="20"/>
              </w:rPr>
            </w:pP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教学方法</w:t>
            </w:r>
            <w:r>
              <w:rPr>
                <w:rFonts w:ascii="仿宋_GB2312" w:hAnsi="仿宋_GB2312" w:eastAsia="仿宋_GB2312" w:cs="仿宋_GB2312"/>
                <w:color w:val="auto"/>
                <w:kern w:val="0"/>
                <w:sz w:val="24"/>
                <w:szCs w:val="20"/>
              </w:rPr>
              <w:t>策略</w:t>
            </w:r>
            <w:r>
              <w:rPr>
                <w:rFonts w:hint="eastAsia" w:ascii="仿宋_GB2312" w:hAnsi="仿宋_GB2312" w:eastAsia="仿宋_GB2312" w:cs="仿宋_GB2312"/>
                <w:color w:val="auto"/>
                <w:kern w:val="0"/>
                <w:sz w:val="24"/>
                <w:szCs w:val="20"/>
              </w:rPr>
              <w:t>适切</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体现</w:t>
            </w:r>
            <w:r>
              <w:rPr>
                <w:rFonts w:ascii="仿宋_GB2312" w:hAnsi="宋体" w:eastAsia="仿宋_GB2312" w:cs="宋体"/>
                <w:color w:val="auto"/>
                <w:kern w:val="0"/>
                <w:sz w:val="24"/>
                <w:szCs w:val="20"/>
              </w:rPr>
              <w:t>以学习者为中心</w:t>
            </w:r>
            <w:r>
              <w:rPr>
                <w:rFonts w:hint="eastAsia" w:ascii="仿宋_GB2312" w:hAnsi="宋体" w:eastAsia="仿宋_GB2312" w:cs="宋体"/>
                <w:color w:val="auto"/>
                <w:kern w:val="0"/>
                <w:sz w:val="24"/>
                <w:szCs w:val="20"/>
              </w:rPr>
              <w:t>的课程</w:t>
            </w:r>
            <w:r>
              <w:rPr>
                <w:rFonts w:ascii="仿宋_GB2312" w:hAnsi="宋体" w:eastAsia="仿宋_GB2312" w:cs="宋体"/>
                <w:color w:val="auto"/>
                <w:kern w:val="0"/>
                <w:sz w:val="24"/>
                <w:szCs w:val="20"/>
              </w:rPr>
              <w:t>理念，</w:t>
            </w:r>
            <w:r>
              <w:rPr>
                <w:rFonts w:hint="eastAsia" w:ascii="仿宋_GB2312" w:hAnsi="宋体" w:eastAsia="仿宋_GB2312" w:cs="宋体"/>
                <w:color w:val="auto"/>
                <w:kern w:val="0"/>
                <w:sz w:val="24"/>
                <w:szCs w:val="20"/>
              </w:rPr>
              <w:t>注重学生亲身体验、情境感知；教学组织严谨</w:t>
            </w:r>
            <w:r>
              <w:rPr>
                <w:rFonts w:ascii="仿宋_GB2312" w:hAnsi="宋体" w:eastAsia="仿宋_GB2312" w:cs="宋体"/>
                <w:color w:val="auto"/>
                <w:kern w:val="0"/>
                <w:sz w:val="24"/>
                <w:szCs w:val="20"/>
              </w:rPr>
              <w:t>，</w:t>
            </w:r>
            <w:r>
              <w:rPr>
                <w:rFonts w:hint="eastAsia" w:ascii="仿宋_GB2312" w:hAnsi="宋体" w:eastAsia="仿宋_GB2312" w:cs="宋体"/>
                <w:color w:val="auto"/>
                <w:kern w:val="0"/>
                <w:sz w:val="24"/>
                <w:szCs w:val="20"/>
              </w:rPr>
              <w:t>教学方法得当，策略有效。</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ascii="Times New Roman" w:hAnsi="Times New Roman" w:eastAsia="仿宋_GB2312" w:cs="Times New Roman"/>
                <w:color w:val="auto"/>
                <w:kern w:val="0"/>
                <w:sz w:val="28"/>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13" w:type="dxa"/>
            <w:vMerge w:val="continue"/>
            <w:vAlign w:val="center"/>
          </w:tcPr>
          <w:p>
            <w:pPr>
              <w:widowControl/>
              <w:adjustRightInd w:val="0"/>
              <w:snapToGrid w:val="0"/>
              <w:jc w:val="center"/>
              <w:rPr>
                <w:rFonts w:ascii="仿宋_GB2312" w:hAnsi="宋体" w:eastAsia="仿宋_GB2312" w:cs="宋体"/>
                <w:b/>
                <w:color w:val="auto"/>
                <w:kern w:val="0"/>
                <w:sz w:val="24"/>
                <w:szCs w:val="20"/>
              </w:rPr>
            </w:pP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信息技术</w:t>
            </w:r>
          </w:p>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融合有效</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熟练运用信息技术，依据</w:t>
            </w:r>
            <w:r>
              <w:rPr>
                <w:rFonts w:ascii="仿宋_GB2312" w:hAnsi="宋体" w:eastAsia="仿宋_GB2312" w:cs="宋体"/>
                <w:color w:val="auto"/>
                <w:kern w:val="0"/>
                <w:sz w:val="24"/>
                <w:szCs w:val="20"/>
              </w:rPr>
              <w:t>教学目标</w:t>
            </w:r>
            <w:r>
              <w:rPr>
                <w:rFonts w:hint="eastAsia" w:ascii="仿宋_GB2312" w:hAnsi="宋体" w:eastAsia="仿宋_GB2312" w:cs="宋体"/>
                <w:color w:val="auto"/>
                <w:kern w:val="0"/>
                <w:sz w:val="24"/>
                <w:szCs w:val="20"/>
              </w:rPr>
              <w:t>选择、整合和应用数字教育资源，促进知识理解和问题解决，培养学生的创新能力，提升教学的</w:t>
            </w:r>
            <w:r>
              <w:rPr>
                <w:rFonts w:ascii="仿宋_GB2312" w:hAnsi="宋体" w:eastAsia="仿宋_GB2312" w:cs="宋体"/>
                <w:color w:val="auto"/>
                <w:kern w:val="0"/>
                <w:sz w:val="24"/>
                <w:szCs w:val="20"/>
              </w:rPr>
              <w:t>精准性和</w:t>
            </w:r>
            <w:r>
              <w:rPr>
                <w:rFonts w:hint="eastAsia" w:ascii="仿宋_GB2312" w:hAnsi="宋体" w:eastAsia="仿宋_GB2312" w:cs="宋体"/>
                <w:color w:val="auto"/>
                <w:kern w:val="0"/>
                <w:sz w:val="24"/>
                <w:szCs w:val="20"/>
              </w:rPr>
              <w:t>实效性。如有实验内容，实验技术应运用合理。</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hint="eastAsia" w:ascii="Times New Roman" w:hAnsi="Times New Roman" w:eastAsia="仿宋_GB2312" w:cs="Times New Roman"/>
                <w:color w:val="auto"/>
                <w:kern w:val="0"/>
                <w:sz w:val="28"/>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913" w:type="dxa"/>
            <w:vMerge w:val="restart"/>
            <w:vAlign w:val="center"/>
          </w:tcPr>
          <w:p>
            <w:pPr>
              <w:widowControl/>
              <w:adjustRightInd w:val="0"/>
              <w:snapToGrid w:val="0"/>
              <w:jc w:val="center"/>
              <w:rPr>
                <w:rFonts w:ascii="仿宋_GB2312" w:hAnsi="宋体" w:eastAsia="仿宋_GB2312" w:cs="宋体"/>
                <w:b/>
                <w:color w:val="auto"/>
                <w:kern w:val="0"/>
                <w:sz w:val="24"/>
                <w:szCs w:val="20"/>
              </w:rPr>
            </w:pPr>
            <w:r>
              <w:rPr>
                <w:rFonts w:hint="eastAsia" w:ascii="仿宋_GB2312" w:hAnsi="宋体" w:eastAsia="仿宋_GB2312" w:cs="宋体"/>
                <w:b/>
                <w:color w:val="auto"/>
                <w:kern w:val="0"/>
                <w:sz w:val="24"/>
                <w:szCs w:val="20"/>
              </w:rPr>
              <w:t>教学资源</w:t>
            </w: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宋体" w:eastAsia="仿宋_GB2312" w:cs="宋体"/>
                <w:color w:val="auto"/>
                <w:kern w:val="0"/>
                <w:sz w:val="24"/>
                <w:szCs w:val="20"/>
              </w:rPr>
              <w:t>教学设</w:t>
            </w:r>
            <w:r>
              <w:rPr>
                <w:rFonts w:hint="eastAsia" w:ascii="仿宋_GB2312" w:hAnsi="仿宋_GB2312" w:eastAsia="仿宋_GB2312" w:cs="仿宋_GB2312"/>
                <w:color w:val="auto"/>
                <w:kern w:val="0"/>
                <w:sz w:val="24"/>
                <w:szCs w:val="20"/>
              </w:rPr>
              <w:t>计明确恰当</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教学设计（及学习任务单）与教学目标一致，符合学生的认知水平，体现导学功能，有效激发学生的</w:t>
            </w:r>
            <w:r>
              <w:rPr>
                <w:rFonts w:ascii="仿宋_GB2312" w:hAnsi="宋体" w:eastAsia="仿宋_GB2312" w:cs="宋体"/>
                <w:color w:val="auto"/>
                <w:kern w:val="0"/>
                <w:sz w:val="24"/>
                <w:szCs w:val="20"/>
              </w:rPr>
              <w:t>积极性</w:t>
            </w:r>
            <w:r>
              <w:rPr>
                <w:rFonts w:hint="eastAsia" w:ascii="仿宋_GB2312" w:hAnsi="宋体" w:eastAsia="仿宋_GB2312" w:cs="宋体"/>
                <w:color w:val="auto"/>
                <w:kern w:val="0"/>
                <w:sz w:val="24"/>
                <w:szCs w:val="20"/>
              </w:rPr>
              <w:t>和</w:t>
            </w:r>
            <w:r>
              <w:rPr>
                <w:rFonts w:ascii="仿宋_GB2312" w:hAnsi="宋体" w:eastAsia="仿宋_GB2312" w:cs="宋体"/>
                <w:color w:val="auto"/>
                <w:kern w:val="0"/>
                <w:sz w:val="24"/>
                <w:szCs w:val="20"/>
              </w:rPr>
              <w:t>创造</w:t>
            </w:r>
            <w:r>
              <w:rPr>
                <w:rFonts w:hint="eastAsia" w:ascii="仿宋_GB2312" w:hAnsi="宋体" w:eastAsia="仿宋_GB2312" w:cs="宋体"/>
                <w:color w:val="auto"/>
                <w:kern w:val="0"/>
                <w:sz w:val="24"/>
                <w:szCs w:val="20"/>
              </w:rPr>
              <w:t>性。</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hint="eastAsia" w:ascii="Times New Roman" w:hAnsi="Times New Roman" w:eastAsia="仿宋_GB2312" w:cs="Times New Roman"/>
                <w:color w:val="auto"/>
                <w:kern w:val="0"/>
                <w:sz w:val="28"/>
                <w:szCs w:val="20"/>
              </w:rPr>
              <w:t>1</w:t>
            </w:r>
            <w:r>
              <w:rPr>
                <w:rFonts w:ascii="Times New Roman" w:hAnsi="Times New Roman" w:eastAsia="仿宋_GB2312" w:cs="Times New Roman"/>
                <w:color w:val="auto"/>
                <w:kern w:val="0"/>
                <w:sz w:val="28"/>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913" w:type="dxa"/>
            <w:vMerge w:val="continue"/>
            <w:vAlign w:val="center"/>
          </w:tcPr>
          <w:p>
            <w:pPr>
              <w:widowControl/>
              <w:adjustRightInd w:val="0"/>
              <w:snapToGrid w:val="0"/>
              <w:jc w:val="center"/>
              <w:rPr>
                <w:rFonts w:ascii="仿宋_GB2312" w:hAnsi="宋体" w:eastAsia="仿宋_GB2312" w:cs="宋体"/>
                <w:b/>
                <w:color w:val="auto"/>
                <w:kern w:val="0"/>
                <w:sz w:val="24"/>
                <w:szCs w:val="20"/>
              </w:rPr>
            </w:pP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作业练习规范科学</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课上练习、课后作业、实验活动（如有）紧扣</w:t>
            </w:r>
            <w:r>
              <w:rPr>
                <w:rFonts w:ascii="仿宋_GB2312" w:hAnsi="宋体" w:eastAsia="仿宋_GB2312" w:cs="宋体"/>
                <w:color w:val="auto"/>
                <w:kern w:val="0"/>
                <w:sz w:val="24"/>
                <w:szCs w:val="20"/>
              </w:rPr>
              <w:t>教学目标</w:t>
            </w:r>
            <w:r>
              <w:rPr>
                <w:rFonts w:hint="eastAsia" w:ascii="仿宋_GB2312" w:hAnsi="宋体" w:eastAsia="仿宋_GB2312" w:cs="宋体"/>
                <w:color w:val="auto"/>
                <w:kern w:val="0"/>
                <w:sz w:val="24"/>
                <w:szCs w:val="20"/>
              </w:rPr>
              <w:t>，总量</w:t>
            </w:r>
            <w:r>
              <w:rPr>
                <w:rFonts w:ascii="仿宋_GB2312" w:hAnsi="宋体" w:eastAsia="仿宋_GB2312" w:cs="宋体"/>
                <w:color w:val="auto"/>
                <w:kern w:val="0"/>
                <w:sz w:val="24"/>
                <w:szCs w:val="20"/>
              </w:rPr>
              <w:t>适中，</w:t>
            </w:r>
            <w:r>
              <w:rPr>
                <w:rFonts w:hint="eastAsia" w:ascii="仿宋_GB2312" w:hAnsi="宋体" w:eastAsia="仿宋_GB2312" w:cs="宋体"/>
                <w:color w:val="auto"/>
                <w:kern w:val="0"/>
                <w:sz w:val="24"/>
                <w:szCs w:val="20"/>
              </w:rPr>
              <w:t>难易</w:t>
            </w:r>
            <w:r>
              <w:rPr>
                <w:rFonts w:ascii="仿宋_GB2312" w:hAnsi="宋体" w:eastAsia="仿宋_GB2312" w:cs="宋体"/>
                <w:color w:val="auto"/>
                <w:kern w:val="0"/>
                <w:sz w:val="24"/>
                <w:szCs w:val="20"/>
              </w:rPr>
              <w:t>适度</w:t>
            </w:r>
            <w:r>
              <w:rPr>
                <w:rFonts w:hint="eastAsia" w:ascii="仿宋_GB2312" w:hAnsi="宋体" w:eastAsia="仿宋_GB2312" w:cs="宋体"/>
                <w:color w:val="auto"/>
                <w:kern w:val="0"/>
                <w:sz w:val="24"/>
                <w:szCs w:val="20"/>
              </w:rPr>
              <w:t>，</w:t>
            </w:r>
            <w:r>
              <w:rPr>
                <w:rFonts w:ascii="仿宋_GB2312" w:hAnsi="宋体" w:eastAsia="仿宋_GB2312" w:cs="宋体"/>
                <w:color w:val="auto"/>
                <w:kern w:val="0"/>
                <w:sz w:val="24"/>
                <w:szCs w:val="20"/>
              </w:rPr>
              <w:t>形式多样</w:t>
            </w:r>
            <w:r>
              <w:rPr>
                <w:rFonts w:hint="eastAsia" w:ascii="仿宋_GB2312" w:hAnsi="宋体" w:eastAsia="仿宋_GB2312" w:cs="宋体"/>
                <w:color w:val="auto"/>
                <w:kern w:val="0"/>
                <w:sz w:val="24"/>
                <w:szCs w:val="20"/>
              </w:rPr>
              <w:t>，</w:t>
            </w:r>
            <w:r>
              <w:rPr>
                <w:rFonts w:ascii="仿宋_GB2312" w:hAnsi="宋体" w:eastAsia="仿宋_GB2312" w:cs="宋体"/>
                <w:color w:val="auto"/>
                <w:kern w:val="0"/>
                <w:sz w:val="24"/>
                <w:szCs w:val="20"/>
              </w:rPr>
              <w:t>促进学生发展。</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hint="eastAsia" w:ascii="Times New Roman" w:hAnsi="Times New Roman" w:eastAsia="仿宋_GB2312" w:cs="Times New Roman"/>
                <w:color w:val="auto"/>
                <w:kern w:val="0"/>
                <w:sz w:val="28"/>
                <w:szCs w:val="20"/>
              </w:rPr>
              <w:t>1</w:t>
            </w:r>
            <w:r>
              <w:rPr>
                <w:rFonts w:ascii="Times New Roman" w:hAnsi="Times New Roman" w:eastAsia="仿宋_GB2312" w:cs="Times New Roman"/>
                <w:color w:val="auto"/>
                <w:kern w:val="0"/>
                <w:sz w:val="2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913" w:type="dxa"/>
            <w:vAlign w:val="center"/>
          </w:tcPr>
          <w:p>
            <w:pPr>
              <w:widowControl/>
              <w:adjustRightInd w:val="0"/>
              <w:snapToGrid w:val="0"/>
              <w:jc w:val="center"/>
              <w:rPr>
                <w:rFonts w:ascii="仿宋_GB2312" w:hAnsi="宋体" w:eastAsia="仿宋_GB2312" w:cs="宋体"/>
                <w:b/>
                <w:color w:val="auto"/>
                <w:kern w:val="0"/>
                <w:sz w:val="24"/>
                <w:szCs w:val="20"/>
              </w:rPr>
            </w:pPr>
            <w:r>
              <w:rPr>
                <w:rFonts w:hint="eastAsia" w:ascii="仿宋_GB2312" w:hAnsi="宋体" w:eastAsia="仿宋_GB2312" w:cs="宋体"/>
                <w:b/>
                <w:color w:val="auto"/>
                <w:kern w:val="0"/>
                <w:sz w:val="24"/>
                <w:szCs w:val="20"/>
              </w:rPr>
              <w:t>技术规范</w:t>
            </w: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资源完整</w:t>
            </w:r>
          </w:p>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提交规范</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教师讲解、实验与多媒体演示切换适当，布局美观，声画同步；课件、学习任务单</w:t>
            </w:r>
            <w:r>
              <w:rPr>
                <w:rFonts w:ascii="仿宋_GB2312" w:hAnsi="宋体" w:eastAsia="仿宋_GB2312" w:cs="宋体"/>
                <w:color w:val="auto"/>
                <w:kern w:val="0"/>
                <w:sz w:val="24"/>
                <w:szCs w:val="20"/>
              </w:rPr>
              <w:t>、</w:t>
            </w:r>
            <w:r>
              <w:rPr>
                <w:rFonts w:hint="eastAsia" w:ascii="仿宋_GB2312" w:hAnsi="宋体" w:eastAsia="仿宋_GB2312" w:cs="宋体"/>
                <w:color w:val="auto"/>
                <w:kern w:val="0"/>
                <w:sz w:val="24"/>
                <w:szCs w:val="20"/>
              </w:rPr>
              <w:t>作业</w:t>
            </w:r>
            <w:r>
              <w:rPr>
                <w:rFonts w:ascii="仿宋_GB2312" w:hAnsi="宋体" w:eastAsia="仿宋_GB2312" w:cs="宋体"/>
                <w:color w:val="auto"/>
                <w:kern w:val="0"/>
                <w:sz w:val="24"/>
                <w:szCs w:val="20"/>
              </w:rPr>
              <w:t>练习</w:t>
            </w:r>
            <w:r>
              <w:rPr>
                <w:rFonts w:hint="eastAsia" w:ascii="仿宋_GB2312" w:hAnsi="宋体" w:eastAsia="仿宋_GB2312" w:cs="宋体"/>
                <w:color w:val="auto"/>
                <w:kern w:val="0"/>
                <w:sz w:val="24"/>
                <w:szCs w:val="20"/>
              </w:rPr>
              <w:t>信息完整、格式规范；资源引用注明出处。</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hint="eastAsia" w:ascii="Times New Roman" w:hAnsi="Times New Roman" w:eastAsia="仿宋_GB2312" w:cs="Times New Roman"/>
                <w:color w:val="auto"/>
                <w:kern w:val="0"/>
                <w:sz w:val="28"/>
                <w:szCs w:val="20"/>
              </w:rPr>
              <w:t>1</w:t>
            </w:r>
            <w:r>
              <w:rPr>
                <w:rFonts w:ascii="Times New Roman" w:hAnsi="Times New Roman" w:eastAsia="仿宋_GB2312" w:cs="Times New Roman"/>
                <w:color w:val="auto"/>
                <w:kern w:val="0"/>
                <w:sz w:val="28"/>
                <w:szCs w:val="20"/>
              </w:rPr>
              <w:t>0</w:t>
            </w:r>
          </w:p>
        </w:tc>
      </w:tr>
    </w:tbl>
    <w:p>
      <w:pPr>
        <w:spacing w:line="600" w:lineRule="exact"/>
        <w:rPr>
          <w:rFonts w:ascii="黑体" w:hAnsi="黑体" w:eastAsia="黑体" w:cs="黑体"/>
          <w:color w:val="auto"/>
          <w:sz w:val="32"/>
          <w:szCs w:val="32"/>
        </w:rPr>
        <w:sectPr>
          <w:footerReference r:id="rId6" w:type="first"/>
          <w:headerReference r:id="rId3" w:type="default"/>
          <w:footerReference r:id="rId5" w:type="default"/>
          <w:headerReference r:id="rId4" w:type="even"/>
          <w:pgSz w:w="11906" w:h="16838"/>
          <w:pgMar w:top="1440" w:right="1803" w:bottom="1440" w:left="1803" w:header="851" w:footer="992" w:gutter="0"/>
          <w:pgNumType w:fmt="numberInDash"/>
          <w:cols w:space="0" w:num="1"/>
          <w:titlePg/>
          <w:docGrid w:type="lines" w:linePitch="318" w:charSpace="0"/>
        </w:sectPr>
      </w:pPr>
    </w:p>
    <w:p>
      <w:pPr>
        <w:spacing w:line="600" w:lineRule="exact"/>
        <w:rPr>
          <w:rFonts w:ascii="黑体" w:hAnsi="黑体" w:eastAsia="黑体"/>
          <w:color w:val="auto"/>
          <w:sz w:val="32"/>
          <w:szCs w:val="32"/>
        </w:rPr>
      </w:pPr>
      <w:r>
        <w:rPr>
          <w:rFonts w:hint="eastAsia" w:ascii="黑体" w:hAnsi="黑体" w:eastAsia="黑体"/>
          <w:color w:val="auto"/>
          <w:sz w:val="32"/>
          <w:szCs w:val="32"/>
        </w:rPr>
        <w:t>附件4</w:t>
      </w:r>
    </w:p>
    <w:tbl>
      <w:tblPr>
        <w:tblStyle w:val="9"/>
        <w:tblpPr w:leftFromText="180" w:rightFromText="180" w:vertAnchor="text" w:horzAnchor="margin" w:tblpXSpec="center" w:tblpY="146"/>
        <w:tblW w:w="14279" w:type="dxa"/>
        <w:tblInd w:w="0" w:type="dxa"/>
        <w:tblLayout w:type="fixed"/>
        <w:tblCellMar>
          <w:top w:w="0" w:type="dxa"/>
          <w:left w:w="108" w:type="dxa"/>
          <w:bottom w:w="0" w:type="dxa"/>
          <w:right w:w="108" w:type="dxa"/>
        </w:tblCellMar>
      </w:tblPr>
      <w:tblGrid>
        <w:gridCol w:w="2038"/>
        <w:gridCol w:w="934"/>
        <w:gridCol w:w="866"/>
        <w:gridCol w:w="1141"/>
        <w:gridCol w:w="2110"/>
        <w:gridCol w:w="992"/>
        <w:gridCol w:w="1843"/>
        <w:gridCol w:w="1256"/>
        <w:gridCol w:w="1544"/>
        <w:gridCol w:w="1555"/>
      </w:tblGrid>
      <w:tr>
        <w:tblPrEx>
          <w:tblCellMar>
            <w:top w:w="0" w:type="dxa"/>
            <w:left w:w="108" w:type="dxa"/>
            <w:bottom w:w="0" w:type="dxa"/>
            <w:right w:w="108" w:type="dxa"/>
          </w:tblCellMar>
        </w:tblPrEx>
        <w:trPr>
          <w:trHeight w:val="567" w:hRule="atLeast"/>
        </w:trPr>
        <w:tc>
          <w:tcPr>
            <w:tcW w:w="14279" w:type="dxa"/>
            <w:gridSpan w:val="10"/>
            <w:tcBorders>
              <w:bottom w:val="single" w:color="auto" w:sz="4" w:space="0"/>
            </w:tcBorders>
            <w:vAlign w:val="center"/>
          </w:tcPr>
          <w:p>
            <w:pPr>
              <w:widowControl/>
              <w:spacing w:line="600" w:lineRule="exact"/>
              <w:jc w:val="center"/>
              <w:rPr>
                <w:rFonts w:ascii="方正小标宋简体" w:hAnsi="方正小标宋简体" w:eastAsia="方正小标宋简体" w:cs="方正小标宋简体"/>
                <w:color w:val="auto"/>
                <w:kern w:val="0"/>
                <w:sz w:val="32"/>
                <w:szCs w:val="32"/>
              </w:rPr>
            </w:pPr>
            <w:r>
              <w:rPr>
                <w:rFonts w:hint="eastAsia" w:ascii="方正小标宋简体" w:hAnsi="Calibri" w:eastAsia="方正小标宋简体" w:cs="Times New Roman"/>
                <w:color w:val="auto"/>
                <w:kern w:val="0"/>
                <w:sz w:val="44"/>
                <w:szCs w:val="44"/>
              </w:rPr>
              <w:t>工作联系表</w:t>
            </w:r>
          </w:p>
        </w:tc>
      </w:tr>
      <w:tr>
        <w:tblPrEx>
          <w:tblCellMar>
            <w:top w:w="0" w:type="dxa"/>
            <w:left w:w="108" w:type="dxa"/>
            <w:bottom w:w="0" w:type="dxa"/>
            <w:right w:w="108" w:type="dxa"/>
          </w:tblCellMar>
        </w:tblPrEx>
        <w:trPr>
          <w:trHeight w:val="567" w:hRule="atLeast"/>
        </w:trPr>
        <w:tc>
          <w:tcPr>
            <w:tcW w:w="4979" w:type="dxa"/>
            <w:gridSpan w:val="4"/>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省辖市、济源示范区、省直管县（市）</w:t>
            </w:r>
          </w:p>
        </w:tc>
        <w:tc>
          <w:tcPr>
            <w:tcW w:w="4945" w:type="dxa"/>
            <w:gridSpan w:val="3"/>
            <w:tcBorders>
              <w:top w:val="single" w:color="auto" w:sz="4" w:space="0"/>
              <w:left w:val="nil"/>
              <w:bottom w:val="single" w:color="auto" w:sz="4" w:space="0"/>
              <w:right w:val="single" w:color="auto" w:sz="4" w:space="0"/>
            </w:tcBorders>
            <w:vAlign w:val="center"/>
          </w:tcPr>
          <w:p>
            <w:pPr>
              <w:widowControl/>
              <w:spacing w:line="600" w:lineRule="exact"/>
              <w:jc w:val="righ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4355" w:type="dxa"/>
            <w:gridSpan w:val="3"/>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（同级教育行政部门公章）</w:t>
            </w:r>
          </w:p>
        </w:tc>
      </w:tr>
      <w:tr>
        <w:tblPrEx>
          <w:tblCellMar>
            <w:top w:w="0" w:type="dxa"/>
            <w:left w:w="108" w:type="dxa"/>
            <w:bottom w:w="0" w:type="dxa"/>
            <w:right w:w="108" w:type="dxa"/>
          </w:tblCellMar>
        </w:tblPrEx>
        <w:trPr>
          <w:trHeight w:val="567" w:hRule="atLeast"/>
        </w:trPr>
        <w:tc>
          <w:tcPr>
            <w:tcW w:w="4979" w:type="dxa"/>
            <w:gridSpan w:val="4"/>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负责部门名称</w:t>
            </w:r>
          </w:p>
        </w:tc>
        <w:tc>
          <w:tcPr>
            <w:tcW w:w="9300" w:type="dxa"/>
            <w:gridSpan w:val="6"/>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r>
      <w:tr>
        <w:tblPrEx>
          <w:tblCellMar>
            <w:top w:w="0" w:type="dxa"/>
            <w:left w:w="108" w:type="dxa"/>
            <w:bottom w:w="0" w:type="dxa"/>
            <w:right w:w="108" w:type="dxa"/>
          </w:tblCellMar>
        </w:tblPrEx>
        <w:trPr>
          <w:trHeight w:val="567" w:hRule="atLeast"/>
        </w:trPr>
        <w:tc>
          <w:tcPr>
            <w:tcW w:w="4979" w:type="dxa"/>
            <w:gridSpan w:val="4"/>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通讯地址</w:t>
            </w:r>
          </w:p>
        </w:tc>
        <w:tc>
          <w:tcPr>
            <w:tcW w:w="9300" w:type="dxa"/>
            <w:gridSpan w:val="6"/>
            <w:tcBorders>
              <w:top w:val="single" w:color="auto" w:sz="4" w:space="0"/>
              <w:left w:val="nil"/>
              <w:bottom w:val="single" w:color="auto" w:sz="4" w:space="0"/>
              <w:right w:val="single" w:color="auto" w:sz="4" w:space="0"/>
            </w:tcBorders>
            <w:vAlign w:val="center"/>
          </w:tcPr>
          <w:p>
            <w:pPr>
              <w:widowControl/>
              <w:wordWrap w:val="0"/>
              <w:spacing w:line="600" w:lineRule="exact"/>
              <w:jc w:val="righ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（邮编：         ）</w:t>
            </w:r>
          </w:p>
        </w:tc>
      </w:tr>
      <w:tr>
        <w:tblPrEx>
          <w:tblCellMar>
            <w:top w:w="0" w:type="dxa"/>
            <w:left w:w="108" w:type="dxa"/>
            <w:bottom w:w="0" w:type="dxa"/>
            <w:right w:w="108" w:type="dxa"/>
          </w:tblCellMar>
        </w:tblPrEx>
        <w:trPr>
          <w:trHeight w:val="567" w:hRule="atLeast"/>
        </w:trPr>
        <w:tc>
          <w:tcPr>
            <w:tcW w:w="2038" w:type="dxa"/>
            <w:tcBorders>
              <w:top w:val="nil"/>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行政部门</w:t>
            </w:r>
          </w:p>
        </w:tc>
        <w:tc>
          <w:tcPr>
            <w:tcW w:w="93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姓名</w:t>
            </w:r>
          </w:p>
        </w:tc>
        <w:tc>
          <w:tcPr>
            <w:tcW w:w="86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性别</w:t>
            </w:r>
          </w:p>
        </w:tc>
        <w:tc>
          <w:tcPr>
            <w:tcW w:w="1141"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民族</w:t>
            </w:r>
          </w:p>
        </w:tc>
        <w:tc>
          <w:tcPr>
            <w:tcW w:w="2110"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所在单位/处室</w:t>
            </w:r>
          </w:p>
        </w:tc>
        <w:tc>
          <w:tcPr>
            <w:tcW w:w="992"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职务</w:t>
            </w:r>
          </w:p>
        </w:tc>
        <w:tc>
          <w:tcPr>
            <w:tcW w:w="1843"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办公电话</w:t>
            </w:r>
          </w:p>
        </w:tc>
        <w:tc>
          <w:tcPr>
            <w:tcW w:w="125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传真</w:t>
            </w:r>
          </w:p>
        </w:tc>
        <w:tc>
          <w:tcPr>
            <w:tcW w:w="154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手机</w:t>
            </w:r>
          </w:p>
        </w:tc>
        <w:tc>
          <w:tcPr>
            <w:tcW w:w="1555"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邮箱</w:t>
            </w:r>
          </w:p>
        </w:tc>
      </w:tr>
      <w:tr>
        <w:tblPrEx>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负责人</w:t>
            </w:r>
          </w:p>
        </w:tc>
        <w:tc>
          <w:tcPr>
            <w:tcW w:w="93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86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141"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2110"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992"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843"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25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54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555"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r>
      <w:tr>
        <w:tblPrEx>
          <w:tblCellMar>
            <w:top w:w="0" w:type="dxa"/>
            <w:left w:w="108" w:type="dxa"/>
            <w:bottom w:w="0" w:type="dxa"/>
            <w:right w:w="108" w:type="dxa"/>
          </w:tblCellMar>
        </w:tblPrEx>
        <w:trPr>
          <w:trHeight w:val="599"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联系人</w:t>
            </w:r>
          </w:p>
        </w:tc>
        <w:tc>
          <w:tcPr>
            <w:tcW w:w="93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86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141"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2110"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992"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843"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25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54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555"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r>
      <w:tr>
        <w:tblPrEx>
          <w:tblCellMar>
            <w:top w:w="0" w:type="dxa"/>
            <w:left w:w="108" w:type="dxa"/>
            <w:bottom w:w="0" w:type="dxa"/>
            <w:right w:w="108" w:type="dxa"/>
          </w:tblCellMar>
        </w:tblPrEx>
        <w:trPr>
          <w:trHeight w:val="567" w:hRule="atLeast"/>
        </w:trPr>
        <w:tc>
          <w:tcPr>
            <w:tcW w:w="2038" w:type="dxa"/>
            <w:tcBorders>
              <w:top w:val="nil"/>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具体组织部门</w:t>
            </w:r>
          </w:p>
        </w:tc>
        <w:tc>
          <w:tcPr>
            <w:tcW w:w="93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姓名</w:t>
            </w:r>
          </w:p>
        </w:tc>
        <w:tc>
          <w:tcPr>
            <w:tcW w:w="86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性别</w:t>
            </w:r>
          </w:p>
        </w:tc>
        <w:tc>
          <w:tcPr>
            <w:tcW w:w="1141"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民族</w:t>
            </w:r>
          </w:p>
        </w:tc>
        <w:tc>
          <w:tcPr>
            <w:tcW w:w="2110"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所在单位/处室</w:t>
            </w:r>
          </w:p>
        </w:tc>
        <w:tc>
          <w:tcPr>
            <w:tcW w:w="992"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职务</w:t>
            </w:r>
          </w:p>
        </w:tc>
        <w:tc>
          <w:tcPr>
            <w:tcW w:w="1843"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办公电话</w:t>
            </w:r>
          </w:p>
        </w:tc>
        <w:tc>
          <w:tcPr>
            <w:tcW w:w="125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传真</w:t>
            </w:r>
          </w:p>
        </w:tc>
        <w:tc>
          <w:tcPr>
            <w:tcW w:w="154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手机</w:t>
            </w:r>
          </w:p>
        </w:tc>
        <w:tc>
          <w:tcPr>
            <w:tcW w:w="1555"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邮箱</w:t>
            </w:r>
          </w:p>
        </w:tc>
      </w:tr>
      <w:tr>
        <w:tblPrEx>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负责人</w:t>
            </w:r>
          </w:p>
        </w:tc>
        <w:tc>
          <w:tcPr>
            <w:tcW w:w="934"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86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141"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2110"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992"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843"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256" w:type="dxa"/>
            <w:tcBorders>
              <w:top w:val="nil"/>
              <w:left w:val="nil"/>
              <w:bottom w:val="single" w:color="auto" w:sz="4" w:space="0"/>
              <w:right w:val="single" w:color="auto" w:sz="4" w:space="0"/>
            </w:tcBorders>
            <w:vAlign w:val="center"/>
          </w:tcPr>
          <w:p>
            <w:pPr>
              <w:spacing w:line="600" w:lineRule="exact"/>
              <w:ind w:left="76"/>
              <w:jc w:val="center"/>
              <w:rPr>
                <w:rFonts w:ascii="仿宋_GB2312" w:hAnsi="仿宋_GB2312" w:eastAsia="仿宋_GB2312" w:cs="仿宋_GB2312"/>
                <w:color w:val="auto"/>
                <w:kern w:val="0"/>
                <w:sz w:val="30"/>
                <w:szCs w:val="30"/>
              </w:rPr>
            </w:pPr>
          </w:p>
        </w:tc>
        <w:tc>
          <w:tcPr>
            <w:tcW w:w="1544" w:type="dxa"/>
            <w:tcBorders>
              <w:top w:val="nil"/>
              <w:left w:val="nil"/>
              <w:bottom w:val="single" w:color="auto" w:sz="4" w:space="0"/>
              <w:right w:val="single" w:color="auto" w:sz="4" w:space="0"/>
            </w:tcBorders>
            <w:vAlign w:val="center"/>
          </w:tcPr>
          <w:p>
            <w:pPr>
              <w:spacing w:line="600" w:lineRule="exact"/>
              <w:ind w:left="76"/>
              <w:jc w:val="center"/>
              <w:rPr>
                <w:rFonts w:ascii="仿宋_GB2312" w:hAnsi="仿宋_GB2312" w:eastAsia="仿宋_GB2312" w:cs="仿宋_GB2312"/>
                <w:color w:val="auto"/>
                <w:kern w:val="0"/>
                <w:sz w:val="30"/>
                <w:szCs w:val="30"/>
              </w:rPr>
            </w:pPr>
          </w:p>
        </w:tc>
        <w:tc>
          <w:tcPr>
            <w:tcW w:w="1555"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r>
      <w:tr>
        <w:tblPrEx>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联系人</w:t>
            </w:r>
          </w:p>
        </w:tc>
        <w:tc>
          <w:tcPr>
            <w:tcW w:w="934"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866"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141"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2110"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992"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843"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256"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p>
        </w:tc>
        <w:tc>
          <w:tcPr>
            <w:tcW w:w="1544"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p>
        </w:tc>
        <w:tc>
          <w:tcPr>
            <w:tcW w:w="1555"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r>
    </w:tbl>
    <w:p>
      <w:pPr>
        <w:pStyle w:val="17"/>
        <w:tabs>
          <w:tab w:val="left" w:pos="775"/>
        </w:tabs>
        <w:spacing w:line="591" w:lineRule="exact"/>
        <w:ind w:firstLine="0"/>
        <w:jc w:val="both"/>
        <w:rPr>
          <w:rFonts w:eastAsia="PMingLiU"/>
          <w:color w:val="auto"/>
          <w:lang w:val="en-US"/>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03"/>
    <w:rsid w:val="000029D7"/>
    <w:rsid w:val="000B1F0E"/>
    <w:rsid w:val="0018754B"/>
    <w:rsid w:val="00190058"/>
    <w:rsid w:val="001C3C47"/>
    <w:rsid w:val="00204A27"/>
    <w:rsid w:val="00236DB0"/>
    <w:rsid w:val="002536DA"/>
    <w:rsid w:val="00273135"/>
    <w:rsid w:val="002D3AD1"/>
    <w:rsid w:val="0037270F"/>
    <w:rsid w:val="00394CF2"/>
    <w:rsid w:val="00402E9A"/>
    <w:rsid w:val="00443224"/>
    <w:rsid w:val="00466F19"/>
    <w:rsid w:val="004D68EC"/>
    <w:rsid w:val="004F2798"/>
    <w:rsid w:val="005045A3"/>
    <w:rsid w:val="00507CC7"/>
    <w:rsid w:val="0056189B"/>
    <w:rsid w:val="00594D8D"/>
    <w:rsid w:val="00600DD6"/>
    <w:rsid w:val="0060376A"/>
    <w:rsid w:val="006847E0"/>
    <w:rsid w:val="0069124C"/>
    <w:rsid w:val="006B3EF7"/>
    <w:rsid w:val="00734A3C"/>
    <w:rsid w:val="00744F8F"/>
    <w:rsid w:val="00752342"/>
    <w:rsid w:val="00771C8C"/>
    <w:rsid w:val="00774F1E"/>
    <w:rsid w:val="007C7006"/>
    <w:rsid w:val="007D1E10"/>
    <w:rsid w:val="007D7568"/>
    <w:rsid w:val="007E4375"/>
    <w:rsid w:val="008A4703"/>
    <w:rsid w:val="008B6473"/>
    <w:rsid w:val="008F3C3C"/>
    <w:rsid w:val="00906F67"/>
    <w:rsid w:val="0091071D"/>
    <w:rsid w:val="009263AD"/>
    <w:rsid w:val="009306BA"/>
    <w:rsid w:val="009330AE"/>
    <w:rsid w:val="0099743F"/>
    <w:rsid w:val="009D6BAB"/>
    <w:rsid w:val="00A6620B"/>
    <w:rsid w:val="00A82377"/>
    <w:rsid w:val="00AC585D"/>
    <w:rsid w:val="00B17B4D"/>
    <w:rsid w:val="00B60CE4"/>
    <w:rsid w:val="00BA3951"/>
    <w:rsid w:val="00BB3E90"/>
    <w:rsid w:val="00BC3F45"/>
    <w:rsid w:val="00BD0EF4"/>
    <w:rsid w:val="00BE5FD6"/>
    <w:rsid w:val="00E03636"/>
    <w:rsid w:val="00E651ED"/>
    <w:rsid w:val="00EA02A0"/>
    <w:rsid w:val="00FB11E8"/>
    <w:rsid w:val="00FD1D12"/>
    <w:rsid w:val="00FF6871"/>
    <w:rsid w:val="0C9A5457"/>
    <w:rsid w:val="0EC54279"/>
    <w:rsid w:val="10A466D4"/>
    <w:rsid w:val="115A5B46"/>
    <w:rsid w:val="15E66ABD"/>
    <w:rsid w:val="21DD3BD1"/>
    <w:rsid w:val="243E0FA8"/>
    <w:rsid w:val="26340CCC"/>
    <w:rsid w:val="273B1A56"/>
    <w:rsid w:val="2AD31872"/>
    <w:rsid w:val="30883E8D"/>
    <w:rsid w:val="33830E66"/>
    <w:rsid w:val="38CF4027"/>
    <w:rsid w:val="38D80928"/>
    <w:rsid w:val="39E119D1"/>
    <w:rsid w:val="3D9A0CBF"/>
    <w:rsid w:val="3E9677F7"/>
    <w:rsid w:val="4D2C21C1"/>
    <w:rsid w:val="4D52090C"/>
    <w:rsid w:val="55BD011D"/>
    <w:rsid w:val="56B072DF"/>
    <w:rsid w:val="5A5B3957"/>
    <w:rsid w:val="65EA788E"/>
    <w:rsid w:val="66E66A3C"/>
    <w:rsid w:val="694977B3"/>
    <w:rsid w:val="6B5C6B7D"/>
    <w:rsid w:val="6BA86411"/>
    <w:rsid w:val="713A3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link w:val="18"/>
    <w:qFormat/>
    <w:uiPriority w:val="0"/>
    <w:pPr>
      <w:spacing w:before="240" w:after="60"/>
      <w:jc w:val="center"/>
      <w:outlineLvl w:val="0"/>
    </w:pPr>
    <w:rPr>
      <w:rFonts w:asciiTheme="majorHAnsi" w:hAnsiTheme="majorHAnsi" w:eastAsiaTheme="majorEastAsia" w:cstheme="majorBidi"/>
      <w:b/>
      <w:bCs/>
      <w:sz w:val="32"/>
      <w:szCs w:val="32"/>
    </w:rPr>
  </w:style>
  <w:style w:type="paragraph" w:styleId="3">
    <w:name w:val="Body Text Indent"/>
    <w:basedOn w:val="1"/>
    <w:next w:val="1"/>
    <w:link w:val="19"/>
    <w:semiHidden/>
    <w:unhideWhenUsed/>
    <w:qFormat/>
    <w:uiPriority w:val="99"/>
    <w:pPr>
      <w:spacing w:after="120"/>
      <w:ind w:left="420" w:leftChars="200"/>
    </w:pPr>
  </w:style>
  <w:style w:type="paragraph" w:styleId="4">
    <w:name w:val="annotation text"/>
    <w:basedOn w:val="1"/>
    <w:link w:val="24"/>
    <w:semiHidden/>
    <w:unhideWhenUsed/>
    <w:qFormat/>
    <w:uiPriority w:val="99"/>
    <w:pPr>
      <w:jc w:val="left"/>
    </w:pPr>
  </w:style>
  <w:style w:type="paragraph" w:styleId="5">
    <w:name w:val="Balloon Text"/>
    <w:basedOn w:val="1"/>
    <w:link w:val="2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5"/>
    <w:semiHidden/>
    <w:unhideWhenUsed/>
    <w:qFormat/>
    <w:uiPriority w:val="99"/>
    <w:rPr>
      <w:b/>
      <w:bCs/>
    </w:rPr>
  </w:style>
  <w:style w:type="table" w:styleId="10">
    <w:name w:val="Table Grid"/>
    <w:basedOn w:val="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semiHidden/>
    <w:unhideWhenUsed/>
    <w:qFormat/>
    <w:uiPriority w:val="0"/>
    <w:rPr>
      <w:color w:val="0000FF"/>
      <w:u w:val="single"/>
    </w:rPr>
  </w:style>
  <w:style w:type="character" w:styleId="13">
    <w:name w:val="annotation reference"/>
    <w:basedOn w:val="11"/>
    <w:semiHidden/>
    <w:unhideWhenUsed/>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Body text|1_"/>
    <w:basedOn w:val="11"/>
    <w:link w:val="17"/>
    <w:qFormat/>
    <w:uiPriority w:val="0"/>
    <w:rPr>
      <w:rFonts w:ascii="宋体" w:hAnsi="宋体" w:eastAsia="宋体" w:cs="宋体"/>
      <w:sz w:val="28"/>
      <w:szCs w:val="28"/>
      <w:lang w:val="zh-TW" w:eastAsia="zh-TW" w:bidi="zh-TW"/>
    </w:rPr>
  </w:style>
  <w:style w:type="paragraph" w:customStyle="1" w:styleId="17">
    <w:name w:val="Body text|1"/>
    <w:basedOn w:val="1"/>
    <w:link w:val="16"/>
    <w:qFormat/>
    <w:uiPriority w:val="0"/>
    <w:pPr>
      <w:spacing w:line="439" w:lineRule="auto"/>
      <w:ind w:firstLine="140"/>
      <w:jc w:val="left"/>
    </w:pPr>
    <w:rPr>
      <w:rFonts w:ascii="宋体" w:hAnsi="宋体" w:eastAsia="宋体" w:cs="宋体"/>
      <w:sz w:val="28"/>
      <w:szCs w:val="28"/>
      <w:lang w:val="zh-TW" w:eastAsia="zh-TW" w:bidi="zh-TW"/>
    </w:rPr>
  </w:style>
  <w:style w:type="character" w:customStyle="1" w:styleId="18">
    <w:name w:val="标题 字符"/>
    <w:basedOn w:val="11"/>
    <w:link w:val="2"/>
    <w:qFormat/>
    <w:uiPriority w:val="0"/>
    <w:rPr>
      <w:rFonts w:asciiTheme="majorHAnsi" w:hAnsiTheme="majorHAnsi" w:eastAsiaTheme="majorEastAsia" w:cstheme="majorBidi"/>
      <w:b/>
      <w:bCs/>
      <w:sz w:val="32"/>
      <w:szCs w:val="32"/>
    </w:rPr>
  </w:style>
  <w:style w:type="character" w:customStyle="1" w:styleId="19">
    <w:name w:val="正文文本缩进 字符"/>
    <w:basedOn w:val="11"/>
    <w:link w:val="3"/>
    <w:semiHidden/>
    <w:qFormat/>
    <w:uiPriority w:val="99"/>
  </w:style>
  <w:style w:type="character" w:customStyle="1" w:styleId="20">
    <w:name w:val="Heading #2|1_"/>
    <w:basedOn w:val="11"/>
    <w:link w:val="21"/>
    <w:qFormat/>
    <w:uiPriority w:val="0"/>
    <w:rPr>
      <w:rFonts w:ascii="宋体" w:hAnsi="宋体" w:eastAsia="宋体" w:cs="宋体"/>
      <w:sz w:val="44"/>
      <w:szCs w:val="44"/>
      <w:lang w:val="zh-TW" w:eastAsia="zh-TW" w:bidi="zh-TW"/>
    </w:rPr>
  </w:style>
  <w:style w:type="paragraph" w:customStyle="1" w:styleId="21">
    <w:name w:val="Heading #2|1"/>
    <w:basedOn w:val="1"/>
    <w:link w:val="20"/>
    <w:qFormat/>
    <w:uiPriority w:val="0"/>
    <w:pPr>
      <w:spacing w:after="550" w:line="691" w:lineRule="exact"/>
      <w:jc w:val="center"/>
      <w:outlineLvl w:val="1"/>
    </w:pPr>
    <w:rPr>
      <w:rFonts w:ascii="宋体" w:hAnsi="宋体" w:eastAsia="宋体" w:cs="宋体"/>
      <w:sz w:val="44"/>
      <w:szCs w:val="44"/>
      <w:lang w:val="zh-TW" w:eastAsia="zh-TW" w:bidi="zh-TW"/>
    </w:rPr>
  </w:style>
  <w:style w:type="character" w:customStyle="1" w:styleId="22">
    <w:name w:val="Other|1_"/>
    <w:basedOn w:val="11"/>
    <w:link w:val="23"/>
    <w:qFormat/>
    <w:uiPriority w:val="0"/>
    <w:rPr>
      <w:rFonts w:ascii="宋体" w:hAnsi="宋体" w:eastAsia="宋体" w:cs="宋体"/>
      <w:sz w:val="28"/>
      <w:szCs w:val="28"/>
      <w:lang w:val="zh-TW" w:eastAsia="zh-TW" w:bidi="zh-TW"/>
    </w:rPr>
  </w:style>
  <w:style w:type="paragraph" w:customStyle="1" w:styleId="23">
    <w:name w:val="Other|1"/>
    <w:basedOn w:val="1"/>
    <w:link w:val="22"/>
    <w:qFormat/>
    <w:uiPriority w:val="0"/>
    <w:pPr>
      <w:spacing w:line="439" w:lineRule="auto"/>
      <w:ind w:firstLine="140"/>
      <w:jc w:val="left"/>
    </w:pPr>
    <w:rPr>
      <w:rFonts w:ascii="宋体" w:hAnsi="宋体" w:eastAsia="宋体" w:cs="宋体"/>
      <w:sz w:val="28"/>
      <w:szCs w:val="28"/>
      <w:lang w:val="zh-TW" w:eastAsia="zh-TW" w:bidi="zh-TW"/>
    </w:rPr>
  </w:style>
  <w:style w:type="character" w:customStyle="1" w:styleId="24">
    <w:name w:val="批注文字 字符"/>
    <w:basedOn w:val="11"/>
    <w:link w:val="4"/>
    <w:semiHidden/>
    <w:qFormat/>
    <w:uiPriority w:val="99"/>
    <w:rPr>
      <w:rFonts w:asciiTheme="minorHAnsi" w:hAnsiTheme="minorHAnsi" w:eastAsiaTheme="minorEastAsia" w:cstheme="minorBidi"/>
      <w:kern w:val="2"/>
      <w:sz w:val="21"/>
      <w:szCs w:val="22"/>
    </w:rPr>
  </w:style>
  <w:style w:type="character" w:customStyle="1" w:styleId="25">
    <w:name w:val="批注主题 字符"/>
    <w:basedOn w:val="24"/>
    <w:link w:val="8"/>
    <w:semiHidden/>
    <w:uiPriority w:val="99"/>
    <w:rPr>
      <w:rFonts w:asciiTheme="minorHAnsi" w:hAnsiTheme="minorHAnsi" w:eastAsiaTheme="minorEastAsia" w:cstheme="minorBidi"/>
      <w:b/>
      <w:bCs/>
      <w:kern w:val="2"/>
      <w:sz w:val="21"/>
      <w:szCs w:val="22"/>
    </w:rPr>
  </w:style>
  <w:style w:type="character" w:customStyle="1" w:styleId="26">
    <w:name w:val="批注框文本 字符"/>
    <w:basedOn w:val="11"/>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872</Words>
  <Characters>4976</Characters>
  <Lines>41</Lines>
  <Paragraphs>11</Paragraphs>
  <TotalTime>7</TotalTime>
  <ScaleCrop>false</ScaleCrop>
  <LinksUpToDate>false</LinksUpToDate>
  <CharactersWithSpaces>5837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2021-08-19T12:32:00Z</dcterms:created>
  <dc:creator>江 兰廷</dc:creator>
  <cp:lastModifiedBy>江兰廷</cp:lastModifiedBy>
  <cp:lastPrinted>2021-09-02T00:06:00Z</cp:lastPrinted>
  <dcterms:modified xsi:type="dcterms:W3CDTF">2021-09-03T08:29:58Z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24101E6F4F224505B558F93AD288A40E</vt:lpwstr>
  </property>
</Properties>
</file>